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2AE81ECC"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4B6516">
        <w:t>3</w:t>
      </w:r>
      <w:r w:rsidR="00292DA6">
        <w:t>bis-</w:t>
      </w:r>
      <w:r w:rsidR="00CD6314">
        <w:t>e</w:t>
      </w:r>
      <w:r w:rsidRPr="00663F19">
        <w:tab/>
      </w:r>
      <w:r w:rsidRPr="00B75509">
        <w:rPr>
          <w:sz w:val="32"/>
          <w:szCs w:val="32"/>
        </w:rPr>
        <w:t xml:space="preserve">Tdoc </w:t>
      </w:r>
      <w:r w:rsidR="00DF68B7" w:rsidRPr="00B75509">
        <w:rPr>
          <w:sz w:val="32"/>
          <w:szCs w:val="32"/>
        </w:rPr>
        <w:t>R2-</w:t>
      </w:r>
      <w:r w:rsidR="0018172B" w:rsidRPr="0018172B">
        <w:t xml:space="preserve"> </w:t>
      </w:r>
      <w:r w:rsidR="0018172B" w:rsidRPr="0018172B">
        <w:rPr>
          <w:sz w:val="32"/>
          <w:szCs w:val="32"/>
        </w:rPr>
        <w:t>2104016</w:t>
      </w:r>
    </w:p>
    <w:p w14:paraId="75F40BC4" w14:textId="4C640AA9" w:rsidR="00E90E49" w:rsidRPr="00663F19" w:rsidRDefault="0015455E" w:rsidP="00311702">
      <w:pPr>
        <w:pStyle w:val="3GPPHeader"/>
      </w:pPr>
      <w:r w:rsidRPr="00523229">
        <w:t>E-meeting</w:t>
      </w:r>
      <w:r w:rsidR="0027144F" w:rsidRPr="00523229">
        <w:t xml:space="preserve">, </w:t>
      </w:r>
      <w:r w:rsidR="00292DA6">
        <w:t>April</w:t>
      </w:r>
      <w:r w:rsidR="004B6516">
        <w:t xml:space="preserve"> </w:t>
      </w:r>
      <w:r w:rsidR="00292DA6">
        <w:t>1</w:t>
      </w:r>
      <w:r w:rsidR="004B6516">
        <w:t>2</w:t>
      </w:r>
      <w:r w:rsidR="004B6516" w:rsidRPr="004B6516">
        <w:rPr>
          <w:vertAlign w:val="superscript"/>
        </w:rPr>
        <w:t>th</w:t>
      </w:r>
      <w:r w:rsidR="004B6516">
        <w:t xml:space="preserve"> </w:t>
      </w:r>
      <w:r w:rsidR="004D3530">
        <w:t>-</w:t>
      </w:r>
      <w:r w:rsidR="00523229">
        <w:t xml:space="preserve"> </w:t>
      </w:r>
      <w:r w:rsidR="00292DA6">
        <w:t>20</w:t>
      </w:r>
      <w:r w:rsidR="00292DA6" w:rsidRPr="00292DA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09863BCC" w:rsidR="00E90E49" w:rsidRPr="00663F19" w:rsidRDefault="00E90E49" w:rsidP="00311702">
      <w:pPr>
        <w:pStyle w:val="3GPPHeader"/>
        <w:rPr>
          <w:sz w:val="22"/>
        </w:rPr>
      </w:pPr>
      <w:r w:rsidRPr="00663F19">
        <w:rPr>
          <w:sz w:val="22"/>
        </w:rPr>
        <w:t>Agenda Item:</w:t>
      </w:r>
      <w:r w:rsidRPr="00663F19">
        <w:rPr>
          <w:sz w:val="22"/>
        </w:rPr>
        <w:tab/>
      </w:r>
      <w:r w:rsidR="00987105">
        <w:rPr>
          <w:sz w:val="22"/>
        </w:rPr>
        <w:t>9.2.1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7A697B11" w:rsidR="00E90E49" w:rsidRPr="00663F19" w:rsidRDefault="003D3C45" w:rsidP="00311702">
      <w:pPr>
        <w:pStyle w:val="3GPPHeader"/>
        <w:rPr>
          <w:sz w:val="22"/>
        </w:rPr>
      </w:pPr>
      <w:r w:rsidRPr="00663F19">
        <w:rPr>
          <w:sz w:val="22"/>
        </w:rPr>
        <w:t>Title:</w:t>
      </w:r>
      <w:r w:rsidR="00E90E49" w:rsidRPr="00663F19">
        <w:rPr>
          <w:sz w:val="22"/>
        </w:rPr>
        <w:tab/>
      </w:r>
      <w:r w:rsidR="00292DA6">
        <w:rPr>
          <w:sz w:val="22"/>
        </w:rPr>
        <w:t xml:space="preserve">Discussion on </w:t>
      </w:r>
      <w:r w:rsidR="00D437AE">
        <w:rPr>
          <w:sz w:val="22"/>
        </w:rPr>
        <w:t>essential functionality</w:t>
      </w:r>
      <w:r w:rsidR="00292DA6">
        <w:rPr>
          <w:sz w:val="22"/>
        </w:rPr>
        <w:t xml:space="preserve"> in IoT - </w:t>
      </w:r>
      <w:r w:rsidR="0015455E" w:rsidRPr="00663F19">
        <w:rPr>
          <w:sz w:val="22"/>
        </w:rPr>
        <w:t>scenarios</w:t>
      </w:r>
      <w:r w:rsidR="004B6516">
        <w:rPr>
          <w:sz w:val="22"/>
        </w:rPr>
        <w:t xml:space="preserve"> and </w:t>
      </w:r>
      <w:r w:rsidR="00292DA6">
        <w:rPr>
          <w:sz w:val="22"/>
        </w:rPr>
        <w:t>scope</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20143A59" w:rsidR="00E90E49" w:rsidRPr="00CE0424" w:rsidRDefault="00230D18" w:rsidP="00987105">
      <w:pPr>
        <w:pStyle w:val="Heading1"/>
      </w:pPr>
      <w:r>
        <w:t>1</w:t>
      </w:r>
      <w:r>
        <w:tab/>
      </w:r>
      <w:r w:rsidR="00E90E49" w:rsidRPr="00CE0424">
        <w:t>Introduction</w:t>
      </w:r>
    </w:p>
    <w:p w14:paraId="08DA8E7B" w14:textId="585519D8" w:rsidR="007C7EF8" w:rsidRPr="007C7EF8" w:rsidRDefault="00917621" w:rsidP="007C7EF8">
      <w:pPr>
        <w:pStyle w:val="BodyText"/>
        <w:rPr>
          <w:sz w:val="20"/>
          <w:szCs w:val="20"/>
        </w:rPr>
      </w:pPr>
      <w:bookmarkStart w:id="0" w:name="_Ref178064866"/>
      <w:r w:rsidRPr="007C7EF8">
        <w:rPr>
          <w:sz w:val="20"/>
          <w:szCs w:val="20"/>
        </w:rPr>
        <mc:AlternateContent>
          <mc:Choice Requires="wps">
            <w:drawing>
              <wp:anchor distT="0" distB="0" distL="114300" distR="114300" simplePos="0" relativeHeight="251658241" behindDoc="0" locked="0" layoutInCell="1" allowOverlap="1" wp14:anchorId="426395F8" wp14:editId="4EDFCA6B">
                <wp:simplePos x="0" y="0"/>
                <wp:positionH relativeFrom="column">
                  <wp:posOffset>-2540</wp:posOffset>
                </wp:positionH>
                <wp:positionV relativeFrom="paragraph">
                  <wp:posOffset>2967990</wp:posOffset>
                </wp:positionV>
                <wp:extent cx="6119495" cy="3219450"/>
                <wp:effectExtent l="0" t="0" r="1460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219450"/>
                        </a:xfrm>
                        <a:prstGeom prst="rect">
                          <a:avLst/>
                        </a:prstGeom>
                        <a:solidFill>
                          <a:schemeClr val="lt1">
                            <a:lumMod val="100000"/>
                            <a:lumOff val="0"/>
                          </a:schemeClr>
                        </a:solidFill>
                        <a:ln w="6350">
                          <a:solidFill>
                            <a:srgbClr val="000000"/>
                          </a:solidFill>
                          <a:miter lim="800000"/>
                          <a:headEnd/>
                          <a:tailEnd/>
                        </a:ln>
                      </wps:spPr>
                      <wps:txbx>
                        <w:txbxContent>
                          <w:p w14:paraId="3E4342AA" w14:textId="77777777" w:rsidR="00736109" w:rsidRPr="00136FB2" w:rsidRDefault="00736109" w:rsidP="00917621">
                            <w:pPr>
                              <w:rPr>
                                <w:rFonts w:ascii="Times New Roman" w:hAnsi="Times New Roman" w:cs="Times New Roman"/>
                                <w:sz w:val="20"/>
                                <w:szCs w:val="20"/>
                              </w:rPr>
                            </w:pPr>
                            <w:r w:rsidRPr="00136FB2">
                              <w:rPr>
                                <w:rFonts w:ascii="Times New Roman" w:hAnsi="Times New Roman" w:cs="Times New Roman"/>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561479B"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Aspects related to random access procedure/signals [RAN1, RAN2]</w:t>
                            </w:r>
                          </w:p>
                          <w:p w14:paraId="7004C299"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Mechanisms for time/frequency adjustment including Timing Advance, and UL frequency compensation indication [RAN1, RAN2]</w:t>
                            </w:r>
                          </w:p>
                          <w:p w14:paraId="01AA57C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Timing offset related to scheduling and HARQ-ACK feedback [RAN1, RAN2]</w:t>
                            </w:r>
                          </w:p>
                          <w:p w14:paraId="7EF53770" w14:textId="77777777" w:rsidR="00736109" w:rsidRPr="00136FB2" w:rsidRDefault="00736109" w:rsidP="00917621">
                            <w:pPr>
                              <w:pStyle w:val="B1"/>
                              <w:rPr>
                                <w:rFonts w:cs="Times New Roman"/>
                                <w:sz w:val="20"/>
                                <w:szCs w:val="20"/>
                              </w:rPr>
                            </w:pPr>
                            <w:r w:rsidRPr="00136FB2">
                              <w:rPr>
                                <w:rFonts w:cs="Times New Roman"/>
                                <w:sz w:val="20"/>
                                <w:szCs w:val="20"/>
                              </w:rPr>
                              <w:t>-    Aspects related to HARQ operation [RAN2, RAN1]</w:t>
                            </w:r>
                          </w:p>
                          <w:p w14:paraId="205CC9F6"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General aspects related to timers (e.g. SR, DRX, etc.) [RAN2]</w:t>
                            </w:r>
                          </w:p>
                          <w:p w14:paraId="22BCB49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RAN2 aspects related to idle mode and connected mode mobility [RAN2]</w:t>
                            </w:r>
                          </w:p>
                          <w:p w14:paraId="3C67DC1E"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RLF-based for NB-IoT</w:t>
                            </w:r>
                          </w:p>
                          <w:p w14:paraId="777442A3"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Handover-based for eMTC</w:t>
                            </w:r>
                          </w:p>
                          <w:p w14:paraId="422D5BF4"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System information enhancements [RAN2]</w:t>
                            </w:r>
                          </w:p>
                          <w:p w14:paraId="612D797A"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Tracking area enhancements [RAN2]</w:t>
                            </w:r>
                          </w:p>
                          <w:p w14:paraId="289A355B" w14:textId="77777777" w:rsidR="00736109" w:rsidRPr="00136FB2" w:rsidRDefault="00736109" w:rsidP="00917621">
                            <w:pPr>
                              <w:rPr>
                                <w:rFonts w:ascii="Times New Roman" w:hAnsi="Times New Roman" w:cs="Times New Roman"/>
                                <w:sz w:val="20"/>
                                <w:szCs w:val="20"/>
                              </w:rPr>
                            </w:pPr>
                          </w:p>
                          <w:p w14:paraId="57016523" w14:textId="6B6FE223" w:rsidR="00736109" w:rsidRPr="00E731A9" w:rsidRDefault="00736109" w:rsidP="00917621">
                            <w:pPr>
                              <w:rPr>
                                <w:rFonts w:ascii="Times New Roman" w:hAnsi="Times New Roman" w:cs="Times New Roman"/>
                              </w:rPr>
                            </w:pPr>
                          </w:p>
                          <w:p w14:paraId="6B91E3A0" w14:textId="77777777" w:rsidR="00736109" w:rsidRDefault="00736109" w:rsidP="00917621">
                            <w:pPr>
                              <w:rPr>
                                <w:rFonts w:ascii="Times New Roman" w:hAnsi="Times New Roman" w:cs="Times New Roman"/>
                                <w:sz w:val="20"/>
                                <w:szCs w:val="20"/>
                              </w:rPr>
                            </w:pPr>
                          </w:p>
                          <w:p w14:paraId="56D67140" w14:textId="77777777" w:rsidR="00736109" w:rsidRDefault="00736109" w:rsidP="00917621">
                            <w:pPr>
                              <w:jc w:val="both"/>
                              <w:rPr>
                                <w:rFonts w:ascii="Times New Roman" w:hAnsi="Times New Roman" w:cs="Times New Roman"/>
                                <w:lang w:eastAsia="ja-JP"/>
                              </w:rPr>
                            </w:pPr>
                          </w:p>
                          <w:p w14:paraId="7BC39577" w14:textId="77777777" w:rsidR="00736109" w:rsidRPr="0041428E" w:rsidRDefault="00736109" w:rsidP="00917621">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6395F8" id="_x0000_t202" coordsize="21600,21600" o:spt="202" path="m,l,21600r21600,l21600,xe">
                <v:stroke joinstyle="miter"/>
                <v:path gradientshapeok="t" o:connecttype="rect"/>
              </v:shapetype>
              <v:shape id="Text Box 2" o:spid="_x0000_s1026" type="#_x0000_t202" style="position:absolute;left:0;text-align:left;margin-left:-.2pt;margin-top:233.7pt;width:481.85pt;height:2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" fillcolor="white [3201]" strokeweight=".5pt">
                <v:textbox>
                  <w:txbxContent>
                    <w:p w14:paraId="3E4342AA" w14:textId="77777777" w:rsidR="00736109" w:rsidRPr="00136FB2" w:rsidRDefault="00736109" w:rsidP="00917621">
                      <w:pPr>
                        <w:rPr>
                          <w:rFonts w:ascii="Times New Roman" w:hAnsi="Times New Roman" w:cs="Times New Roman"/>
                          <w:sz w:val="20"/>
                          <w:szCs w:val="20"/>
                        </w:rPr>
                      </w:pPr>
                      <w:r w:rsidRPr="00136FB2">
                        <w:rPr>
                          <w:rFonts w:ascii="Times New Roman" w:hAnsi="Times New Roman" w:cs="Times New Roman"/>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561479B"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Aspects related to random access procedure/signals [RAN1, RAN2]</w:t>
                      </w:r>
                    </w:p>
                    <w:p w14:paraId="7004C299"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Mechanisms for time/frequency adjustment including Timing Advance, and UL frequency compensation indication [RAN1, RAN2]</w:t>
                      </w:r>
                    </w:p>
                    <w:p w14:paraId="01AA57C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Timing offset related to scheduling and HARQ-ACK feedback [RAN1, RAN2]</w:t>
                      </w:r>
                    </w:p>
                    <w:p w14:paraId="7EF53770" w14:textId="77777777" w:rsidR="00736109" w:rsidRPr="00136FB2" w:rsidRDefault="00736109" w:rsidP="00917621">
                      <w:pPr>
                        <w:pStyle w:val="B1"/>
                        <w:rPr>
                          <w:rFonts w:cs="Times New Roman"/>
                          <w:sz w:val="20"/>
                          <w:szCs w:val="20"/>
                        </w:rPr>
                      </w:pPr>
                      <w:r w:rsidRPr="00136FB2">
                        <w:rPr>
                          <w:rFonts w:cs="Times New Roman"/>
                          <w:sz w:val="20"/>
                          <w:szCs w:val="20"/>
                        </w:rPr>
                        <w:t>-    Aspects related to HARQ operation [RAN2, RAN1]</w:t>
                      </w:r>
                    </w:p>
                    <w:p w14:paraId="205CC9F6"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General aspects related to timers (e.g. SR, DRX, etc.) [RAN2]</w:t>
                      </w:r>
                    </w:p>
                    <w:p w14:paraId="22BCB49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RAN2 aspects related to idle mode and connected mode mobility [RAN2]</w:t>
                      </w:r>
                    </w:p>
                    <w:p w14:paraId="3C67DC1E"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RLF-based for NB-IoT</w:t>
                      </w:r>
                    </w:p>
                    <w:p w14:paraId="777442A3"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Handover-based for eMTC</w:t>
                      </w:r>
                    </w:p>
                    <w:p w14:paraId="422D5BF4"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System information enhancements [RAN2]</w:t>
                      </w:r>
                    </w:p>
                    <w:p w14:paraId="612D797A"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Tracking area enhancements [RAN2]</w:t>
                      </w:r>
                    </w:p>
                    <w:p w14:paraId="289A355B" w14:textId="77777777" w:rsidR="00736109" w:rsidRPr="00136FB2" w:rsidRDefault="00736109" w:rsidP="00917621">
                      <w:pPr>
                        <w:rPr>
                          <w:rFonts w:ascii="Times New Roman" w:hAnsi="Times New Roman" w:cs="Times New Roman"/>
                          <w:sz w:val="20"/>
                          <w:szCs w:val="20"/>
                        </w:rPr>
                      </w:pPr>
                    </w:p>
                    <w:p w14:paraId="57016523" w14:textId="6B6FE223" w:rsidR="00736109" w:rsidRPr="00E731A9" w:rsidRDefault="00736109" w:rsidP="00917621">
                      <w:pPr>
                        <w:rPr>
                          <w:rFonts w:ascii="Times New Roman" w:hAnsi="Times New Roman" w:cs="Times New Roman"/>
                        </w:rPr>
                      </w:pPr>
                    </w:p>
                    <w:p w14:paraId="6B91E3A0" w14:textId="77777777" w:rsidR="00736109" w:rsidRDefault="00736109" w:rsidP="00917621">
                      <w:pPr>
                        <w:rPr>
                          <w:rFonts w:ascii="Times New Roman" w:hAnsi="Times New Roman" w:cs="Times New Roman"/>
                          <w:sz w:val="20"/>
                          <w:szCs w:val="20"/>
                        </w:rPr>
                      </w:pPr>
                    </w:p>
                    <w:p w14:paraId="56D67140" w14:textId="77777777" w:rsidR="00736109" w:rsidRDefault="00736109" w:rsidP="00917621">
                      <w:pPr>
                        <w:jc w:val="both"/>
                        <w:rPr>
                          <w:rFonts w:ascii="Times New Roman" w:hAnsi="Times New Roman" w:cs="Times New Roman"/>
                          <w:lang w:eastAsia="ja-JP"/>
                        </w:rPr>
                      </w:pPr>
                    </w:p>
                    <w:p w14:paraId="7BC39577" w14:textId="77777777" w:rsidR="00736109" w:rsidRPr="0041428E" w:rsidRDefault="00736109" w:rsidP="00917621">
                      <w:pPr>
                        <w:jc w:val="both"/>
                        <w:rPr>
                          <w:rFonts w:ascii="Times New Roman" w:hAnsi="Times New Roman" w:cs="Times New Roman"/>
                          <w:lang w:eastAsia="ja-JP"/>
                        </w:rPr>
                      </w:pPr>
                    </w:p>
                  </w:txbxContent>
                </v:textbox>
                <w10:wrap type="topAndBottom"/>
              </v:shape>
            </w:pict>
          </mc:Fallback>
        </mc:AlternateContent>
      </w:r>
      <w:r w:rsidR="00136FB2" w:rsidRPr="007C7EF8">
        <w:rPr>
          <w:sz w:val="20"/>
          <w:szCs w:val="20"/>
        </w:rPr>
        <mc:AlternateContent>
          <mc:Choice Requires="wps">
            <w:drawing>
              <wp:anchor distT="0" distB="0" distL="114300" distR="114300" simplePos="0" relativeHeight="251658240" behindDoc="0" locked="0" layoutInCell="1" allowOverlap="1" wp14:anchorId="0F904855" wp14:editId="329A53F5">
                <wp:simplePos x="0" y="0"/>
                <wp:positionH relativeFrom="column">
                  <wp:posOffset>-2540</wp:posOffset>
                </wp:positionH>
                <wp:positionV relativeFrom="paragraph">
                  <wp:posOffset>766445</wp:posOffset>
                </wp:positionV>
                <wp:extent cx="6120000" cy="2210400"/>
                <wp:effectExtent l="0" t="0" r="14605" b="1905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210400"/>
                        </a:xfrm>
                        <a:prstGeom prst="rect">
                          <a:avLst/>
                        </a:prstGeom>
                        <a:solidFill>
                          <a:schemeClr val="lt1">
                            <a:lumMod val="100000"/>
                            <a:lumOff val="0"/>
                          </a:schemeClr>
                        </a:solidFill>
                        <a:ln w="6350">
                          <a:solidFill>
                            <a:srgbClr val="000000"/>
                          </a:solidFill>
                          <a:miter lim="800000"/>
                          <a:headEnd/>
                          <a:tailEnd/>
                        </a:ln>
                      </wps:spPr>
                      <wps:txbx>
                        <w:txbxContent>
                          <w:p w14:paraId="72C27928"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The first objective of this Study is to identify scenarios applicable to NB-IoT/eMTC [RAN1, RAN2], including:</w:t>
                            </w:r>
                          </w:p>
                          <w:p w14:paraId="29AEFA8E"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Bands of interest in sub 6 GHz</w:t>
                            </w:r>
                          </w:p>
                          <w:p w14:paraId="38CED95A"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Device type with PC3 or PC5 (LEO and GEO) </w:t>
                            </w:r>
                          </w:p>
                          <w:p w14:paraId="72751B4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Satellite constellation orbit LEO and GEO </w:t>
                            </w:r>
                          </w:p>
                          <w:p w14:paraId="11A43482"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Transparent payload.</w:t>
                            </w:r>
                          </w:p>
                          <w:p w14:paraId="637F1E3D"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Link budget</w:t>
                            </w:r>
                          </w:p>
                          <w:p w14:paraId="1EB8012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NOTE 1: This first objective will be based on the scenarios documented in TR 38.821.</w:t>
                            </w:r>
                          </w:p>
                          <w:p w14:paraId="1410D35E" w14:textId="77777777" w:rsidR="00736109" w:rsidRPr="00E731A9" w:rsidRDefault="00736109" w:rsidP="007C7EF8">
                            <w:pPr>
                              <w:rPr>
                                <w:rFonts w:ascii="Times New Roman" w:hAnsi="Times New Roman" w:cs="Times New Roman"/>
                              </w:rPr>
                            </w:pPr>
                            <w:r w:rsidRPr="00136FB2">
                              <w:rPr>
                                <w:rFonts w:ascii="Times New Roman" w:hAnsi="Times New Roman" w:cs="Times New Roman"/>
                                <w:sz w:val="20"/>
                                <w:szCs w:val="20"/>
                              </w:rPr>
                              <w:t>NOTE 2: UE mobility assumptions follow terrestrial NB-IoT/eMTC assumptions.</w:t>
                            </w:r>
                          </w:p>
                          <w:p w14:paraId="329E5B27" w14:textId="77777777" w:rsidR="00736109" w:rsidRDefault="00736109" w:rsidP="00136FB2">
                            <w:pPr>
                              <w:rPr>
                                <w:rFonts w:ascii="Times New Roman" w:hAnsi="Times New Roman" w:cs="Times New Roman"/>
                                <w:sz w:val="20"/>
                                <w:szCs w:val="20"/>
                              </w:rPr>
                            </w:pPr>
                          </w:p>
                          <w:p w14:paraId="64897857" w14:textId="4393CA96" w:rsidR="00736109" w:rsidRDefault="00736109" w:rsidP="007C7EF8">
                            <w:pPr>
                              <w:jc w:val="both"/>
                              <w:rPr>
                                <w:rFonts w:ascii="Times New Roman" w:hAnsi="Times New Roman" w:cs="Times New Roman"/>
                                <w:lang w:eastAsia="ja-JP"/>
                              </w:rPr>
                            </w:pPr>
                          </w:p>
                          <w:p w14:paraId="17CFC4CC" w14:textId="77777777" w:rsidR="00736109" w:rsidRPr="0041428E" w:rsidRDefault="00736109" w:rsidP="007C7EF8">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904855" id="Text Box 6" o:spid="_x0000_s1027" type="#_x0000_t202" style="position:absolute;left:0;text-align:left;margin-left:-.2pt;margin-top:60.35pt;width:481.9pt;height:17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" fillcolor="white [3201]" strokeweight=".5pt">
                <v:textbox>
                  <w:txbxContent>
                    <w:p w14:paraId="72C27928"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The first objective of this Study is to identify scenarios applicable to NB-IoT/eMTC [RAN1, RAN2], including:</w:t>
                      </w:r>
                    </w:p>
                    <w:p w14:paraId="29AEFA8E"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Bands of interest in sub 6 GHz</w:t>
                      </w:r>
                    </w:p>
                    <w:p w14:paraId="38CED95A"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Device type with PC3 or PC5 (LEO and GEO) </w:t>
                      </w:r>
                    </w:p>
                    <w:p w14:paraId="72751B4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Satellite constellation orbit LEO and GEO </w:t>
                      </w:r>
                    </w:p>
                    <w:p w14:paraId="11A43482"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Transparent payload.</w:t>
                      </w:r>
                    </w:p>
                    <w:p w14:paraId="637F1E3D"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Link budget</w:t>
                      </w:r>
                    </w:p>
                    <w:p w14:paraId="1EB8012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NOTE 1: This first objective will be based on the scenarios documented in TR 38.821.</w:t>
                      </w:r>
                    </w:p>
                    <w:p w14:paraId="1410D35E" w14:textId="77777777" w:rsidR="00736109" w:rsidRPr="00E731A9" w:rsidRDefault="00736109" w:rsidP="007C7EF8">
                      <w:pPr>
                        <w:rPr>
                          <w:rFonts w:ascii="Times New Roman" w:hAnsi="Times New Roman" w:cs="Times New Roman"/>
                        </w:rPr>
                      </w:pPr>
                      <w:r w:rsidRPr="00136FB2">
                        <w:rPr>
                          <w:rFonts w:ascii="Times New Roman" w:hAnsi="Times New Roman" w:cs="Times New Roman"/>
                          <w:sz w:val="20"/>
                          <w:szCs w:val="20"/>
                        </w:rPr>
                        <w:t>NOTE 2: UE mobility assumptions follow terrestrial NB-IoT/eMTC assumptions.</w:t>
                      </w:r>
                    </w:p>
                    <w:p w14:paraId="329E5B27" w14:textId="77777777" w:rsidR="00736109" w:rsidRDefault="00736109" w:rsidP="00136FB2">
                      <w:pPr>
                        <w:rPr>
                          <w:rFonts w:ascii="Times New Roman" w:hAnsi="Times New Roman" w:cs="Times New Roman"/>
                          <w:sz w:val="20"/>
                          <w:szCs w:val="20"/>
                        </w:rPr>
                      </w:pPr>
                    </w:p>
                    <w:p w14:paraId="64897857" w14:textId="4393CA96" w:rsidR="00736109" w:rsidRDefault="00736109" w:rsidP="007C7EF8">
                      <w:pPr>
                        <w:jc w:val="both"/>
                        <w:rPr>
                          <w:rFonts w:ascii="Times New Roman" w:hAnsi="Times New Roman" w:cs="Times New Roman"/>
                          <w:lang w:eastAsia="ja-JP"/>
                        </w:rPr>
                      </w:pPr>
                    </w:p>
                    <w:p w14:paraId="17CFC4CC" w14:textId="77777777" w:rsidR="00736109" w:rsidRPr="0041428E" w:rsidRDefault="00736109" w:rsidP="007C7EF8">
                      <w:pPr>
                        <w:jc w:val="both"/>
                        <w:rPr>
                          <w:rFonts w:ascii="Times New Roman" w:hAnsi="Times New Roman" w:cs="Times New Roman"/>
                          <w:lang w:eastAsia="ja-JP"/>
                        </w:rPr>
                      </w:pPr>
                    </w:p>
                  </w:txbxContent>
                </v:textbox>
                <w10:wrap type="topAndBottom"/>
              </v:shape>
            </w:pict>
          </mc:Fallback>
        </mc:AlternateContent>
      </w:r>
      <w:r w:rsidR="004B6516">
        <w:rPr>
          <w:sz w:val="20"/>
          <w:szCs w:val="20"/>
        </w:rPr>
        <w:t>In RAN#86, a</w:t>
      </w:r>
      <w:r w:rsidR="003F3997" w:rsidRPr="00987105">
        <w:rPr>
          <w:sz w:val="20"/>
          <w:szCs w:val="20"/>
        </w:rPr>
        <w:t xml:space="preserve"> </w:t>
      </w:r>
      <w:r w:rsidR="00644E1D" w:rsidRPr="00987105">
        <w:rPr>
          <w:sz w:val="20"/>
          <w:szCs w:val="20"/>
        </w:rPr>
        <w:t>S</w:t>
      </w:r>
      <w:r w:rsidR="003F3997" w:rsidRPr="00987105">
        <w:rPr>
          <w:sz w:val="20"/>
          <w:szCs w:val="20"/>
        </w:rPr>
        <w:t xml:space="preserve">I </w:t>
      </w:r>
      <w:r w:rsidR="004B6516">
        <w:rPr>
          <w:sz w:val="20"/>
          <w:szCs w:val="20"/>
        </w:rPr>
        <w:t xml:space="preserve">was approved </w:t>
      </w:r>
      <w:r w:rsidR="00356C68" w:rsidRPr="00987105">
        <w:rPr>
          <w:sz w:val="20"/>
          <w:szCs w:val="20"/>
        </w:rPr>
        <w:t xml:space="preserve">to </w:t>
      </w:r>
      <w:r w:rsidR="00AA089D" w:rsidRPr="00987105">
        <w:rPr>
          <w:sz w:val="20"/>
          <w:szCs w:val="20"/>
        </w:rPr>
        <w:t>determine and evaluate the minimum necessary specification</w:t>
      </w:r>
      <w:r w:rsidR="00FB7F78">
        <w:rPr>
          <w:sz w:val="20"/>
          <w:szCs w:val="20"/>
        </w:rPr>
        <w:t xml:space="preserve"> update</w:t>
      </w:r>
      <w:r w:rsidR="00AA089D" w:rsidRPr="00987105">
        <w:rPr>
          <w:sz w:val="20"/>
          <w:szCs w:val="20"/>
        </w:rPr>
        <w:t xml:space="preserve">s to introduce </w:t>
      </w:r>
      <w:r w:rsidR="00356C68" w:rsidRPr="00987105">
        <w:rPr>
          <w:sz w:val="20"/>
          <w:szCs w:val="20"/>
        </w:rPr>
        <w:t xml:space="preserve">NB-IoT/eMTC support for </w:t>
      </w:r>
      <w:r w:rsidR="003F3997" w:rsidRPr="00987105">
        <w:rPr>
          <w:sz w:val="20"/>
          <w:szCs w:val="20"/>
        </w:rPr>
        <w:t>non-terrestrial networks (NTN)</w:t>
      </w:r>
      <w:r w:rsidR="007C7EF8">
        <w:rPr>
          <w:sz w:val="20"/>
          <w:szCs w:val="20"/>
        </w:rPr>
        <w:t>, The description for the SI was updated in RAN#90</w:t>
      </w:r>
      <w:r w:rsidR="003F3997" w:rsidRPr="00987105">
        <w:rPr>
          <w:sz w:val="20"/>
          <w:szCs w:val="20"/>
        </w:rPr>
        <w:t xml:space="preserve"> </w:t>
      </w:r>
      <w:r w:rsidR="003F3997" w:rsidRPr="00987105">
        <w:rPr>
          <w:sz w:val="20"/>
          <w:szCs w:val="20"/>
        </w:rPr>
        <w:fldChar w:fldCharType="begin"/>
      </w:r>
      <w:r w:rsidR="003F3997" w:rsidRPr="00987105">
        <w:rPr>
          <w:sz w:val="20"/>
          <w:szCs w:val="20"/>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rPr>
        <w:t>[1]</w:t>
      </w:r>
      <w:r w:rsidR="003F3997" w:rsidRPr="00987105">
        <w:rPr>
          <w:sz w:val="20"/>
          <w:szCs w:val="20"/>
        </w:rPr>
        <w:fldChar w:fldCharType="end"/>
      </w:r>
      <w:r w:rsidR="00BA1283">
        <w:rPr>
          <w:sz w:val="20"/>
          <w:szCs w:val="20"/>
        </w:rPr>
        <w:t xml:space="preserve"> and it was </w:t>
      </w:r>
      <w:r w:rsidR="007C7EF8" w:rsidRPr="007C7EF8">
        <w:rPr>
          <w:sz w:val="20"/>
          <w:szCs w:val="20"/>
        </w:rPr>
        <w:t xml:space="preserve">agreed to use the existing work on NR NTN captured in TR 38.821 </w:t>
      </w:r>
      <w:r w:rsidR="007C7EF8" w:rsidRPr="007C7EF8">
        <w:rPr>
          <w:sz w:val="20"/>
          <w:szCs w:val="20"/>
        </w:rPr>
        <w:fldChar w:fldCharType="begin"/>
      </w:r>
      <w:r w:rsidR="007C7EF8" w:rsidRPr="007C7EF8">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7C7EF8">
        <w:rPr>
          <w:sz w:val="20"/>
          <w:szCs w:val="20"/>
        </w:rPr>
        <w:t>[2]</w:t>
      </w:r>
      <w:r w:rsidR="007C7EF8" w:rsidRPr="007C7EF8">
        <w:rPr>
          <w:sz w:val="20"/>
          <w:szCs w:val="20"/>
        </w:rPr>
        <w:fldChar w:fldCharType="end"/>
      </w:r>
      <w:r w:rsidR="007C7EF8" w:rsidRPr="007C7EF8">
        <w:rPr>
          <w:sz w:val="20"/>
          <w:szCs w:val="20"/>
        </w:rPr>
        <w:t xml:space="preserve"> as a baseline. The </w:t>
      </w:r>
      <w:r w:rsidR="00136FB2" w:rsidRPr="007C7EF8">
        <w:rPr>
          <w:sz w:val="20"/>
          <w:szCs w:val="20"/>
        </w:rPr>
        <w:t>objective</w:t>
      </w:r>
      <w:r w:rsidR="00136FB2">
        <w:rPr>
          <w:sz w:val="20"/>
          <w:szCs w:val="20"/>
        </w:rPr>
        <w:t>s</w:t>
      </w:r>
      <w:r w:rsidR="00136FB2" w:rsidRPr="007C7EF8">
        <w:rPr>
          <w:sz w:val="20"/>
          <w:szCs w:val="20"/>
        </w:rPr>
        <w:t xml:space="preserve"> of this study </w:t>
      </w:r>
      <w:r w:rsidR="00136FB2">
        <w:rPr>
          <w:sz w:val="20"/>
          <w:szCs w:val="20"/>
        </w:rPr>
        <w:t>are</w:t>
      </w:r>
      <w:r w:rsidR="00136FB2" w:rsidRPr="007C7EF8">
        <w:rPr>
          <w:sz w:val="20"/>
          <w:szCs w:val="20"/>
        </w:rPr>
        <w:t xml:space="preserve"> as follows</w:t>
      </w:r>
      <w:r w:rsidR="00136FB2">
        <w:rPr>
          <w:sz w:val="20"/>
          <w:szCs w:val="20"/>
        </w:rPr>
        <w:t>:</w:t>
      </w:r>
    </w:p>
    <w:p w14:paraId="6B4AEC77" w14:textId="1B271E5E" w:rsidR="003F3997" w:rsidRPr="00D0503E" w:rsidRDefault="003F3997" w:rsidP="003F3997">
      <w:pPr>
        <w:pStyle w:val="BodyText"/>
        <w:rPr>
          <w:sz w:val="20"/>
          <w:szCs w:val="20"/>
        </w:rPr>
      </w:pPr>
      <w:r w:rsidRPr="00987105">
        <w:rPr>
          <w:sz w:val="20"/>
          <w:szCs w:val="20"/>
        </w:rPr>
        <w:lastRenderedPageBreak/>
        <w:t xml:space="preserve">In </w:t>
      </w:r>
      <w:r w:rsidR="00917621">
        <w:rPr>
          <w:sz w:val="20"/>
          <w:szCs w:val="20"/>
        </w:rPr>
        <w:t xml:space="preserve">RAN#91-e, an email discussion </w:t>
      </w:r>
      <w:r w:rsidR="00944547">
        <w:rPr>
          <w:sz w:val="20"/>
          <w:szCs w:val="20"/>
        </w:rPr>
        <w:t xml:space="preserve">[4] </w:t>
      </w:r>
      <w:r w:rsidR="00917621">
        <w:rPr>
          <w:sz w:val="20"/>
          <w:szCs w:val="20"/>
        </w:rPr>
        <w:t xml:space="preserve">took place with the purpose to review </w:t>
      </w:r>
      <w:r w:rsidR="00917621" w:rsidRPr="00917621">
        <w:rPr>
          <w:sz w:val="20"/>
          <w:szCs w:val="20"/>
        </w:rPr>
        <w:t xml:space="preserve">the roadmap of the work on IoT NTN in Rel-17. </w:t>
      </w:r>
      <w:r w:rsidR="00917621">
        <w:rPr>
          <w:sz w:val="20"/>
          <w:szCs w:val="20"/>
        </w:rPr>
        <w:t>T</w:t>
      </w:r>
      <w:r w:rsidR="00917621" w:rsidRPr="00917621">
        <w:rPr>
          <w:sz w:val="20"/>
          <w:szCs w:val="20"/>
        </w:rPr>
        <w:t>he discussion also include</w:t>
      </w:r>
      <w:r w:rsidR="00917621">
        <w:rPr>
          <w:sz w:val="20"/>
          <w:szCs w:val="20"/>
        </w:rPr>
        <w:t>d</w:t>
      </w:r>
      <w:r w:rsidR="00917621" w:rsidRPr="00917621">
        <w:rPr>
          <w:sz w:val="20"/>
          <w:szCs w:val="20"/>
        </w:rPr>
        <w:t xml:space="preserve"> aspects on NTN work in general in Rel-17.</w:t>
      </w:r>
      <w:r w:rsidR="00D0503E">
        <w:rPr>
          <w:sz w:val="20"/>
          <w:szCs w:val="20"/>
        </w:rPr>
        <w:t xml:space="preserve"> </w:t>
      </w:r>
      <w:r w:rsidR="00917621">
        <w:rPr>
          <w:sz w:val="20"/>
          <w:szCs w:val="20"/>
        </w:rPr>
        <w:t xml:space="preserve">In </w:t>
      </w:r>
      <w:r w:rsidRPr="00987105">
        <w:rPr>
          <w:sz w:val="20"/>
          <w:szCs w:val="20"/>
        </w:rPr>
        <w:t xml:space="preserve">this contribution </w:t>
      </w:r>
      <w:r w:rsidR="00F13D48" w:rsidRPr="00987105">
        <w:rPr>
          <w:sz w:val="20"/>
          <w:szCs w:val="20"/>
        </w:rPr>
        <w:t xml:space="preserve">we </w:t>
      </w:r>
      <w:r w:rsidR="004B6516">
        <w:rPr>
          <w:sz w:val="20"/>
          <w:szCs w:val="20"/>
        </w:rPr>
        <w:t xml:space="preserve">discuss </w:t>
      </w:r>
      <w:r w:rsidR="00F13D48" w:rsidRPr="00987105">
        <w:rPr>
          <w:sz w:val="20"/>
          <w:szCs w:val="20"/>
        </w:rPr>
        <w:t xml:space="preserve">the </w:t>
      </w:r>
      <w:r w:rsidR="00944547">
        <w:rPr>
          <w:sz w:val="20"/>
          <w:szCs w:val="20"/>
        </w:rPr>
        <w:t>outcome from the email discussion and the essential functionality to be considered in IoT NTN in Rel-17.</w:t>
      </w:r>
    </w:p>
    <w:p w14:paraId="35F8BEEA" w14:textId="77777777" w:rsidR="003E4DB2" w:rsidRDefault="003E4DB2" w:rsidP="003E4DB2">
      <w:pPr>
        <w:pStyle w:val="Heading1"/>
      </w:pPr>
      <w:r>
        <w:t>2</w:t>
      </w:r>
      <w:r>
        <w:tab/>
        <w:t>Background</w:t>
      </w:r>
    </w:p>
    <w:p w14:paraId="22C0E310" w14:textId="5C332977" w:rsidR="003E4DB2" w:rsidRPr="00987105" w:rsidRDefault="003E4DB2" w:rsidP="003E4DB2">
      <w:pPr>
        <w:pStyle w:val="BodyText"/>
        <w:rPr>
          <w:sz w:val="20"/>
          <w:szCs w:val="20"/>
        </w:rPr>
      </w:pPr>
      <w:r w:rsidRPr="00987105">
        <w:rPr>
          <w:rFonts w:cs="Arial"/>
          <w:sz w:val="20"/>
          <w:szCs w:val="20"/>
        </w:rPr>
        <w:t xml:space="preserve">3GPP has actively worked on </w:t>
      </w:r>
      <w:r w:rsidR="006D5724">
        <w:rPr>
          <w:rFonts w:cs="Arial"/>
          <w:sz w:val="20"/>
          <w:szCs w:val="20"/>
        </w:rPr>
        <w:t xml:space="preserve">machine type communication </w:t>
      </w:r>
      <w:r w:rsidRPr="00987105">
        <w:rPr>
          <w:rFonts w:cs="Arial"/>
          <w:sz w:val="20"/>
          <w:szCs w:val="20"/>
        </w:rPr>
        <w:t>related improvements for LTE since Rel</w:t>
      </w:r>
      <w:r w:rsidR="006D5724">
        <w:rPr>
          <w:rFonts w:cs="Arial"/>
          <w:sz w:val="20"/>
          <w:szCs w:val="20"/>
        </w:rPr>
        <w:t xml:space="preserve">ease </w:t>
      </w:r>
      <w:r w:rsidRPr="00987105">
        <w:rPr>
          <w:rFonts w:cs="Arial"/>
          <w:sz w:val="20"/>
          <w:szCs w:val="20"/>
        </w:rPr>
        <w:t xml:space="preserve">8. Delay-tolerant access radio resource control (RRC) establishment was introduced in LTE </w:t>
      </w:r>
      <w:r w:rsidR="006D5724">
        <w:rPr>
          <w:rFonts w:cs="Arial"/>
          <w:sz w:val="20"/>
          <w:szCs w:val="20"/>
        </w:rPr>
        <w:t xml:space="preserve">in </w:t>
      </w:r>
      <w:r w:rsidRPr="00987105">
        <w:rPr>
          <w:rFonts w:cs="Arial"/>
          <w:sz w:val="20"/>
          <w:szCs w:val="20"/>
        </w:rPr>
        <w:t xml:space="preserve">Release 10. It allows the network to deprioritize connection requests from delay tolerant UEs. </w:t>
      </w:r>
      <w:r w:rsidR="006D5724">
        <w:rPr>
          <w:rFonts w:cs="Arial"/>
          <w:sz w:val="20"/>
          <w:szCs w:val="20"/>
        </w:rPr>
        <w:t xml:space="preserve">In </w:t>
      </w:r>
      <w:r w:rsidRPr="00987105">
        <w:rPr>
          <w:rFonts w:cs="Arial"/>
          <w:sz w:val="20"/>
          <w:szCs w:val="20"/>
        </w:rPr>
        <w:t>Release 11</w:t>
      </w:r>
      <w:r w:rsidR="006D5724">
        <w:rPr>
          <w:rFonts w:cs="Arial"/>
          <w:sz w:val="20"/>
          <w:szCs w:val="20"/>
        </w:rPr>
        <w:t>,</w:t>
      </w:r>
      <w:r w:rsidRPr="00987105" w:rsidDel="00A910EF">
        <w:rPr>
          <w:rFonts w:cs="Arial"/>
          <w:sz w:val="20"/>
          <w:szCs w:val="20"/>
        </w:rPr>
        <w:t xml:space="preserve"> </w:t>
      </w:r>
      <w:r w:rsidRPr="00987105">
        <w:rPr>
          <w:rFonts w:cs="Arial"/>
          <w:sz w:val="20"/>
          <w:szCs w:val="20"/>
        </w:rPr>
        <w:t>enhanced access barring (EAB), which allows barring of delay tolerant UEs in an overload scenario</w:t>
      </w:r>
      <w:r w:rsidR="006D5724">
        <w:rPr>
          <w:rFonts w:cs="Arial"/>
          <w:sz w:val="20"/>
          <w:szCs w:val="20"/>
        </w:rPr>
        <w:t xml:space="preserve"> was specified</w:t>
      </w:r>
      <w:r w:rsidRPr="00987105">
        <w:rPr>
          <w:rFonts w:cs="Arial"/>
          <w:sz w:val="20"/>
          <w:szCs w:val="20"/>
        </w:rPr>
        <w:t xml:space="preserve">. In Release 12 power-saving mode (PSM) feature was </w:t>
      </w:r>
      <w:r w:rsidR="006D5724">
        <w:rPr>
          <w:rFonts w:cs="Arial"/>
          <w:sz w:val="20"/>
          <w:szCs w:val="20"/>
        </w:rPr>
        <w:t>introduced</w:t>
      </w:r>
      <w:r w:rsidRPr="00987105">
        <w:rPr>
          <w:rFonts w:cs="Arial"/>
          <w:sz w:val="20"/>
          <w:szCs w:val="20"/>
        </w:rPr>
        <w:t>. It allows a UE to remain registered to a network wh</w:t>
      </w:r>
      <w:r w:rsidR="006D5724">
        <w:rPr>
          <w:rFonts w:cs="Arial"/>
          <w:sz w:val="20"/>
          <w:szCs w:val="20"/>
        </w:rPr>
        <w:t xml:space="preserve">en </w:t>
      </w:r>
      <w:r w:rsidR="0095351C">
        <w:rPr>
          <w:rFonts w:cs="Arial"/>
          <w:sz w:val="20"/>
          <w:szCs w:val="20"/>
        </w:rPr>
        <w:t>it is powered</w:t>
      </w:r>
      <w:r w:rsidR="006D5724">
        <w:rPr>
          <w:rFonts w:cs="Arial"/>
          <w:sz w:val="20"/>
          <w:szCs w:val="20"/>
        </w:rPr>
        <w:t xml:space="preserve"> </w:t>
      </w:r>
      <w:r w:rsidRPr="00987105">
        <w:rPr>
          <w:rFonts w:cs="Arial"/>
          <w:sz w:val="20"/>
          <w:szCs w:val="20"/>
        </w:rPr>
        <w:t>down</w:t>
      </w:r>
      <w:r w:rsidR="006D5724">
        <w:rPr>
          <w:rFonts w:cs="Arial"/>
          <w:sz w:val="20"/>
          <w:szCs w:val="20"/>
        </w:rPr>
        <w:t xml:space="preserve">, i.e., </w:t>
      </w:r>
      <w:r w:rsidR="0095351C">
        <w:rPr>
          <w:rFonts w:cs="Arial"/>
          <w:sz w:val="20"/>
          <w:szCs w:val="20"/>
        </w:rPr>
        <w:t xml:space="preserve">in </w:t>
      </w:r>
      <w:r w:rsidR="006D5724">
        <w:rPr>
          <w:rFonts w:cs="Arial"/>
          <w:sz w:val="20"/>
          <w:szCs w:val="20"/>
        </w:rPr>
        <w:t>deep sleep</w:t>
      </w:r>
      <w:r w:rsidRPr="00987105">
        <w:rPr>
          <w:rFonts w:cs="Arial"/>
          <w:sz w:val="20"/>
          <w:szCs w:val="20"/>
        </w:rPr>
        <w:t>.  Together with extended DRX (eDRX) feature</w:t>
      </w:r>
      <w:r w:rsidR="006D5724">
        <w:rPr>
          <w:rFonts w:cs="Arial"/>
          <w:sz w:val="20"/>
          <w:szCs w:val="20"/>
        </w:rPr>
        <w:t>, which was introduced in Release 13</w:t>
      </w:r>
      <w:r w:rsidRPr="00987105">
        <w:rPr>
          <w:rFonts w:cs="Arial"/>
          <w:sz w:val="20"/>
          <w:szCs w:val="20"/>
        </w:rPr>
        <w:t xml:space="preserve">, PSM allows UEs to optimize the time spent in power efficient RRC Idle mode.  </w:t>
      </w:r>
    </w:p>
    <w:p w14:paraId="5CD39E4C" w14:textId="1BAE7207" w:rsidR="003E4DB2" w:rsidRPr="00E731A9" w:rsidRDefault="003E4DB2" w:rsidP="003E4DB2">
      <w:pPr>
        <w:pStyle w:val="BodyText"/>
        <w:rPr>
          <w:rFonts w:cs="Arial"/>
        </w:rPr>
      </w:pPr>
      <w:r w:rsidRPr="00987105">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Pr>
          <w:rFonts w:cs="Arial"/>
          <w:sz w:val="20"/>
          <w:szCs w:val="20"/>
        </w:rPr>
        <w:t>facilitate</w:t>
      </w:r>
      <w:r w:rsidRPr="00987105">
        <w:rPr>
          <w:rFonts w:cs="Arial"/>
          <w:sz w:val="20"/>
          <w:szCs w:val="20"/>
        </w:rPr>
        <w:t xml:space="preserve"> low UE cost, long UE battery life to limit the need for battery charging and replacement, and coverage enhancements to provide ubiquitous coverage.</w:t>
      </w:r>
      <w:r w:rsidRPr="00E731A9">
        <w:rPr>
          <w:rFonts w:cs="Arial"/>
        </w:rPr>
        <w:t xml:space="preserve"> </w:t>
      </w:r>
    </w:p>
    <w:p w14:paraId="3D6CC05F" w14:textId="77777777" w:rsidR="003E4DB2" w:rsidRDefault="003E4DB2" w:rsidP="003E4DB2">
      <w:pPr>
        <w:pStyle w:val="Heading2"/>
      </w:pPr>
      <w:r>
        <w:t>2.1</w:t>
      </w:r>
      <w:r>
        <w:tab/>
        <w:t>eMTC</w:t>
      </w:r>
    </w:p>
    <w:p w14:paraId="101CD288" w14:textId="0037A2B8" w:rsidR="003E4DB2" w:rsidRPr="00987105" w:rsidRDefault="003E4DB2" w:rsidP="003E4DB2">
      <w:pPr>
        <w:pStyle w:val="BodyText"/>
        <w:rPr>
          <w:rFonts w:cs="Arial"/>
          <w:sz w:val="20"/>
          <w:szCs w:val="20"/>
        </w:rPr>
      </w:pPr>
      <w:r w:rsidRPr="00987105">
        <w:rPr>
          <w:rFonts w:cs="Arial"/>
          <w:sz w:val="20"/>
          <w:szCs w:val="20"/>
        </w:rPr>
        <w:t>3GPP Release 12 initiated the work on eMTC, also often referred to as LTE-M</w:t>
      </w:r>
      <w:r w:rsidR="00A44102" w:rsidRPr="00987105">
        <w:rPr>
          <w:rFonts w:cs="Arial"/>
          <w:sz w:val="20"/>
          <w:szCs w:val="20"/>
        </w:rPr>
        <w:t xml:space="preserve"> </w:t>
      </w:r>
      <w:r w:rsidR="00A44102" w:rsidRPr="00987105">
        <w:rPr>
          <w:rFonts w:cs="Arial"/>
          <w:sz w:val="20"/>
          <w:szCs w:val="20"/>
          <w:highlight w:val="yellow"/>
        </w:rPr>
        <w:fldChar w:fldCharType="begin"/>
      </w:r>
      <w:r w:rsidR="00A4410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A44102" w:rsidRPr="00987105">
        <w:rPr>
          <w:rFonts w:cs="Arial"/>
          <w:sz w:val="20"/>
          <w:szCs w:val="20"/>
          <w:highlight w:val="yellow"/>
        </w:rPr>
      </w:r>
      <w:r w:rsidR="00A44102" w:rsidRPr="00987105">
        <w:rPr>
          <w:rFonts w:cs="Arial"/>
          <w:sz w:val="20"/>
          <w:szCs w:val="20"/>
          <w:highlight w:val="yellow"/>
        </w:rPr>
        <w:fldChar w:fldCharType="separate"/>
      </w:r>
      <w:r w:rsidR="00523229" w:rsidRPr="00987105">
        <w:rPr>
          <w:rFonts w:cs="Arial"/>
          <w:sz w:val="20"/>
          <w:szCs w:val="20"/>
        </w:rPr>
        <w:t>[3]</w:t>
      </w:r>
      <w:r w:rsidR="00A44102" w:rsidRPr="00987105">
        <w:rPr>
          <w:rFonts w:cs="Arial"/>
          <w:sz w:val="20"/>
          <w:szCs w:val="20"/>
          <w:highlight w:val="yellow"/>
        </w:rPr>
        <w:fldChar w:fldCharType="end"/>
      </w:r>
      <w:r w:rsidRPr="00987105">
        <w:rPr>
          <w:rFonts w:cs="Arial"/>
          <w:sz w:val="20"/>
          <w:szCs w:val="20"/>
        </w:rPr>
        <w:t>, and specified the first low-complexity UE category 0 (Cat-0). Cat-0 supports a reduced peak data rate of 1 Mbps, single antenna and half</w:t>
      </w:r>
      <w:r w:rsidRPr="00987105">
        <w:rPr>
          <w:rFonts w:cs="Arial"/>
          <w:sz w:val="20"/>
          <w:szCs w:val="20"/>
        </w:rPr>
        <w:noBreakHyphen/>
        <w:t>duplex frequency</w:t>
      </w:r>
      <w:r w:rsidRPr="00987105">
        <w:rPr>
          <w:rFonts w:cs="Arial"/>
          <w:sz w:val="20"/>
          <w:szCs w:val="20"/>
        </w:rPr>
        <w:noBreakHyphen/>
        <w:t>division duplex (HD</w:t>
      </w:r>
      <w:r w:rsidRPr="00987105">
        <w:rPr>
          <w:rFonts w:cs="Arial"/>
          <w:sz w:val="20"/>
          <w:szCs w:val="20"/>
        </w:rPr>
        <w:noBreakHyphen/>
        <w:t>FDD) operation.</w:t>
      </w:r>
    </w:p>
    <w:p w14:paraId="3CC572F7" w14:textId="77777777" w:rsidR="003E4DB2" w:rsidRPr="00987105" w:rsidRDefault="003E4DB2" w:rsidP="003E4DB2">
      <w:pPr>
        <w:pStyle w:val="BodyText"/>
        <w:rPr>
          <w:rFonts w:cs="Arial"/>
          <w:sz w:val="20"/>
          <w:szCs w:val="20"/>
        </w:rPr>
      </w:pPr>
      <w:r w:rsidRPr="00987105">
        <w:rPr>
          <w:rFonts w:cs="Arial"/>
          <w:sz w:val="20"/>
          <w:szCs w:val="20"/>
        </w:rPr>
        <w:t>In</w:t>
      </w:r>
      <w:r w:rsidRPr="00987105" w:rsidDel="001C7642">
        <w:rPr>
          <w:rFonts w:cs="Arial"/>
          <w:sz w:val="20"/>
          <w:szCs w:val="20"/>
        </w:rPr>
        <w:t xml:space="preserve"> </w:t>
      </w:r>
      <w:r w:rsidRPr="00987105">
        <w:rPr>
          <w:rFonts w:cs="Arial"/>
          <w:sz w:val="20"/>
          <w:szCs w:val="20"/>
        </w:rPr>
        <w:t>Release 13 the work accelerated with the introduction of the Cat-M1 UE category.</w:t>
      </w:r>
      <w:r w:rsidRPr="00987105" w:rsidDel="006D21F4">
        <w:rPr>
          <w:rFonts w:cs="Arial"/>
          <w:sz w:val="20"/>
          <w:szCs w:val="20"/>
        </w:rPr>
        <w:t xml:space="preserve"> </w:t>
      </w:r>
      <w:r w:rsidRPr="00987105">
        <w:rPr>
          <w:rFonts w:cs="Arial"/>
          <w:sz w:val="20"/>
          <w:szCs w:val="20"/>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7DD8331C" w14:textId="1C223A8A" w:rsidR="003E4DB2" w:rsidRDefault="002842DC" w:rsidP="003E4DB2">
      <w:pPr>
        <w:pStyle w:val="BodyText"/>
        <w:rPr>
          <w:rFonts w:cs="Arial"/>
        </w:rPr>
      </w:pPr>
      <w:r>
        <w:rPr>
          <w:rFonts w:cs="Arial"/>
          <w:sz w:val="20"/>
          <w:szCs w:val="20"/>
        </w:rPr>
        <w:t>A</w:t>
      </w:r>
      <w:r w:rsidR="003E4DB2" w:rsidRPr="00987105">
        <w:rPr>
          <w:rFonts w:cs="Arial"/>
          <w:sz w:val="20"/>
          <w:szCs w:val="20"/>
        </w:rPr>
        <w:t xml:space="preserve"> new narrowband physical downlink control channel, the MTC physical downlink control channel (MPDCCH), was introduced as a substitute for the wideband legacy physical downlink control channel (PDCCH) and the Enhanced PDCCH (EPDCCH)</w:t>
      </w:r>
      <w:r>
        <w:rPr>
          <w:rFonts w:cs="Arial"/>
          <w:sz w:val="20"/>
          <w:szCs w:val="20"/>
        </w:rPr>
        <w:t xml:space="preserve"> due to the reduction in bandwidth</w:t>
      </w:r>
      <w:r w:rsidR="003E4DB2" w:rsidRPr="00987105">
        <w:rPr>
          <w:rFonts w:cs="Arial"/>
          <w:sz w:val="20"/>
          <w:szCs w:val="20"/>
        </w:rPr>
        <w:t>. Cat-M1 UEs monitor MPDCCH in a narrowband (NB), which is defined by 6 adjacent PRBs.</w:t>
      </w:r>
    </w:p>
    <w:p w14:paraId="5C71BC2C" w14:textId="2B3628A9" w:rsidR="003E4DB2" w:rsidRPr="00987105" w:rsidRDefault="003E4DB2" w:rsidP="003E4DB2">
      <w:pPr>
        <w:pStyle w:val="BodyText"/>
        <w:rPr>
          <w:rFonts w:cs="Arial"/>
          <w:sz w:val="20"/>
          <w:szCs w:val="20"/>
        </w:rPr>
      </w:pPr>
      <w:r w:rsidRPr="00987105">
        <w:rPr>
          <w:rFonts w:cs="Arial"/>
          <w:sz w:val="20"/>
          <w:szCs w:val="20"/>
        </w:rPr>
        <w:t>eMTC supports an MCL that is 20 dB larger than the normal MCL of LTE. This is achieved mainly through time repetition and a relaxed acquisition time of the physical channels and signals. The primary and secondary synchronization signals (PSS and SSS) are fully reused from LTE and extended coverage is achieved by means of increased acquisition time.</w:t>
      </w:r>
    </w:p>
    <w:p w14:paraId="124CC625" w14:textId="77777777" w:rsidR="003E4DB2" w:rsidRPr="00987105" w:rsidRDefault="003E4DB2" w:rsidP="003E4DB2">
      <w:pPr>
        <w:pStyle w:val="BodyText"/>
        <w:rPr>
          <w:rFonts w:cs="Arial"/>
          <w:sz w:val="20"/>
          <w:szCs w:val="20"/>
        </w:rPr>
      </w:pPr>
      <w:r w:rsidRPr="00987105">
        <w:rPr>
          <w:rFonts w:cs="Arial"/>
          <w:sz w:val="20"/>
          <w:szCs w:val="20"/>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265A2AF9" w14:textId="05344F2E" w:rsidR="003E4DB2" w:rsidRPr="00987105" w:rsidRDefault="003E4DB2" w:rsidP="003E4DB2">
      <w:pPr>
        <w:pStyle w:val="BodyText"/>
        <w:rPr>
          <w:rFonts w:cs="Arial"/>
          <w:sz w:val="20"/>
          <w:szCs w:val="20"/>
        </w:rPr>
      </w:pPr>
      <w:r w:rsidRPr="00987105">
        <w:rPr>
          <w:rFonts w:cs="Arial"/>
          <w:sz w:val="20"/>
          <w:szCs w:val="20"/>
        </w:rPr>
        <w:t>In LTE Releases 14 and 15</w:t>
      </w:r>
      <w:r w:rsidR="00BA1283">
        <w:rPr>
          <w:rFonts w:cs="Arial"/>
          <w:sz w:val="20"/>
          <w:szCs w:val="20"/>
        </w:rPr>
        <w:t>,</w:t>
      </w:r>
      <w:r w:rsidRPr="00987105">
        <w:rPr>
          <w:rFonts w:cs="Arial"/>
          <w:sz w:val="20"/>
          <w:szCs w:val="20"/>
        </w:rPr>
        <w:t xml:space="preserve"> eMTC was further enhanced to support a more diversified set of applications and services. A new UE category Cat-M2 was specified. </w:t>
      </w:r>
      <w:r w:rsidR="00706B0A">
        <w:rPr>
          <w:rFonts w:cs="Arial"/>
          <w:sz w:val="20"/>
          <w:szCs w:val="20"/>
        </w:rPr>
        <w:t>Note that t</w:t>
      </w:r>
      <w:r w:rsidRPr="00987105">
        <w:rPr>
          <w:rFonts w:cs="Arial"/>
          <w:sz w:val="20"/>
          <w:szCs w:val="20"/>
        </w:rPr>
        <w:t>he performance of eMTC Release 15 meets the IMT-2020 5G requirements for the massive IoT use case.</w:t>
      </w:r>
    </w:p>
    <w:p w14:paraId="6C2F4867" w14:textId="42CE469E" w:rsidR="003E4DB2" w:rsidRDefault="003E4DB2" w:rsidP="003E4DB2">
      <w:pPr>
        <w:pStyle w:val="BodyText"/>
      </w:pPr>
      <w:r w:rsidRPr="00987105">
        <w:rPr>
          <w:sz w:val="20"/>
          <w:szCs w:val="20"/>
        </w:rPr>
        <w:t>The work in 3GPP on eMTC continued in Release 16 and is further evolved also in Release 17.</w:t>
      </w:r>
    </w:p>
    <w:p w14:paraId="6CF98F3A" w14:textId="77777777" w:rsidR="003E4DB2" w:rsidRDefault="003E4DB2" w:rsidP="003E4DB2">
      <w:pPr>
        <w:pStyle w:val="Heading2"/>
      </w:pPr>
      <w:r>
        <w:t>2.2</w:t>
      </w:r>
      <w:r>
        <w:tab/>
        <w:t>NB-IoT</w:t>
      </w:r>
    </w:p>
    <w:p w14:paraId="3CF88EFE" w14:textId="589603AC" w:rsidR="003E4DB2" w:rsidRPr="00987105" w:rsidRDefault="003E4DB2" w:rsidP="003E4DB2">
      <w:pPr>
        <w:pStyle w:val="BodyText"/>
        <w:rPr>
          <w:rFonts w:cs="Arial"/>
          <w:sz w:val="20"/>
          <w:szCs w:val="20"/>
        </w:rPr>
      </w:pPr>
      <w:r w:rsidRPr="00987105">
        <w:rPr>
          <w:rFonts w:cs="Arial"/>
          <w:sz w:val="20"/>
          <w:szCs w:val="20"/>
        </w:rPr>
        <w:t>The work on NB-IoT</w:t>
      </w:r>
      <w:r w:rsidRPr="00987105">
        <w:rPr>
          <w:rFonts w:cs="Arial"/>
          <w:sz w:val="20"/>
          <w:szCs w:val="20"/>
        </w:rPr>
        <w:noBreakHyphen/>
        <w:t xml:space="preserve"> started in Rel-13</w:t>
      </w:r>
      <w:r w:rsidR="00025352" w:rsidRPr="00987105">
        <w:rPr>
          <w:rFonts w:cs="Arial"/>
          <w:sz w:val="20"/>
          <w:szCs w:val="20"/>
        </w:rPr>
        <w:t xml:space="preserve"> </w:t>
      </w:r>
      <w:r w:rsidR="00025352" w:rsidRPr="00987105">
        <w:rPr>
          <w:rFonts w:cs="Arial"/>
          <w:sz w:val="20"/>
          <w:szCs w:val="20"/>
          <w:highlight w:val="yellow"/>
        </w:rPr>
        <w:fldChar w:fldCharType="begin"/>
      </w:r>
      <w:r w:rsidR="0002535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025352" w:rsidRPr="00987105">
        <w:rPr>
          <w:rFonts w:cs="Arial"/>
          <w:sz w:val="20"/>
          <w:szCs w:val="20"/>
          <w:highlight w:val="yellow"/>
        </w:rPr>
      </w:r>
      <w:r w:rsidR="00025352" w:rsidRPr="00987105">
        <w:rPr>
          <w:rFonts w:cs="Arial"/>
          <w:sz w:val="20"/>
          <w:szCs w:val="20"/>
          <w:highlight w:val="yellow"/>
        </w:rPr>
        <w:fldChar w:fldCharType="separate"/>
      </w:r>
      <w:r w:rsidR="00523229" w:rsidRPr="00987105">
        <w:rPr>
          <w:rFonts w:cs="Arial"/>
          <w:sz w:val="20"/>
          <w:szCs w:val="20"/>
        </w:rPr>
        <w:t>[3]</w:t>
      </w:r>
      <w:r w:rsidR="00025352" w:rsidRPr="00987105">
        <w:rPr>
          <w:rFonts w:cs="Arial"/>
          <w:sz w:val="20"/>
          <w:szCs w:val="20"/>
          <w:highlight w:val="yellow"/>
        </w:rPr>
        <w:fldChar w:fldCharType="end"/>
      </w:r>
      <w:r w:rsidR="00706B0A">
        <w:rPr>
          <w:rFonts w:cs="Arial"/>
          <w:sz w:val="20"/>
          <w:szCs w:val="20"/>
        </w:rPr>
        <w:t xml:space="preserve"> and c</w:t>
      </w:r>
      <w:r w:rsidRPr="00987105">
        <w:rPr>
          <w:rFonts w:cs="Arial"/>
          <w:sz w:val="20"/>
          <w:szCs w:val="20"/>
        </w:rPr>
        <w:t xml:space="preserve">ompared to eMTC the target was </w:t>
      </w:r>
      <w:r w:rsidR="00706B0A">
        <w:rPr>
          <w:rFonts w:cs="Arial"/>
          <w:sz w:val="20"/>
          <w:szCs w:val="20"/>
        </w:rPr>
        <w:t xml:space="preserve">to achieve </w:t>
      </w:r>
      <w:r w:rsidRPr="00987105">
        <w:rPr>
          <w:rFonts w:cs="Arial"/>
          <w:sz w:val="20"/>
          <w:szCs w:val="20"/>
        </w:rPr>
        <w:t>even lower UE complexity, and a design facilitating high deployment flexibility.</w:t>
      </w:r>
    </w:p>
    <w:p w14:paraId="269287E8" w14:textId="77777777" w:rsidR="003E4DB2" w:rsidRPr="00987105" w:rsidRDefault="003E4DB2" w:rsidP="003E4DB2">
      <w:pPr>
        <w:pStyle w:val="BodyText"/>
        <w:rPr>
          <w:sz w:val="20"/>
          <w:szCs w:val="20"/>
        </w:rPr>
      </w:pPr>
      <w:r w:rsidRPr="00987105">
        <w:rPr>
          <w:rFonts w:cs="Arial"/>
          <w:sz w:val="20"/>
          <w:szCs w:val="20"/>
        </w:rPr>
        <w:lastRenderedPageBreak/>
        <w:t>This resulted in a system design that in short can be described as a narrowband version of LTE. A NB-IoT downlink carrier</w:t>
      </w:r>
      <w:r w:rsidRPr="00987105">
        <w:rPr>
          <w:sz w:val="20"/>
          <w:szCs w:val="20"/>
        </w:rPr>
        <w:t xml:space="preserve"> is defined by 12 OFDM sub-carriers, each of 15 kHz, giving a total baseband bandwidth of 180 kHz. This design gives NB-IoT a high deployment flexibility: The system can operate standalone, in the guardband of an LTE carrier or within an LTE carrier. </w:t>
      </w:r>
    </w:p>
    <w:p w14:paraId="5E749CC1" w14:textId="1217F4FD" w:rsidR="003E4DB2" w:rsidRPr="00987105" w:rsidRDefault="00310FED" w:rsidP="003E4DB2">
      <w:pPr>
        <w:pStyle w:val="BodyText"/>
        <w:rPr>
          <w:sz w:val="20"/>
          <w:szCs w:val="20"/>
        </w:rPr>
      </w:pPr>
      <w:r>
        <w:rPr>
          <w:sz w:val="20"/>
          <w:szCs w:val="20"/>
        </w:rPr>
        <w:t xml:space="preserve">Similar to eMTC, </w:t>
      </w:r>
      <w:r w:rsidR="003E4DB2" w:rsidRPr="00987105">
        <w:rPr>
          <w:sz w:val="20"/>
          <w:szCs w:val="20"/>
        </w:rPr>
        <w:t>NB-IoT make</w:t>
      </w:r>
      <w:r>
        <w:rPr>
          <w:sz w:val="20"/>
          <w:szCs w:val="20"/>
        </w:rPr>
        <w:t>s</w:t>
      </w:r>
      <w:r w:rsidR="003E4DB2" w:rsidRPr="00987105">
        <w:rPr>
          <w:sz w:val="20"/>
          <w:szCs w:val="20"/>
        </w:rPr>
        <w:t xml:space="preserve"> use of increased acquisition times and time repetitions to extend the system coverage. The repetitions can be seen as a third level of retransmissions added at the physical layer as a complement to </w:t>
      </w:r>
      <w:r>
        <w:rPr>
          <w:sz w:val="20"/>
          <w:szCs w:val="20"/>
        </w:rPr>
        <w:t xml:space="preserve">those at </w:t>
      </w:r>
      <w:r w:rsidR="003E4DB2" w:rsidRPr="00987105">
        <w:rPr>
          <w:sz w:val="20"/>
          <w:szCs w:val="20"/>
        </w:rPr>
        <w:t xml:space="preserve">MAC HARQ and RLC ARQ.  </w:t>
      </w:r>
    </w:p>
    <w:p w14:paraId="3AAE9146" w14:textId="77777777" w:rsidR="003E4DB2" w:rsidRPr="00987105" w:rsidRDefault="003E4DB2" w:rsidP="003E4DB2">
      <w:pPr>
        <w:pStyle w:val="BodyText"/>
        <w:rPr>
          <w:sz w:val="20"/>
          <w:szCs w:val="20"/>
        </w:rPr>
      </w:pPr>
      <w:r w:rsidRPr="00987105">
        <w:rPr>
          <w:sz w:val="20"/>
          <w:szCs w:val="20"/>
        </w:rPr>
        <w:t>NB-IoT supports anchor and non-anchor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non-anchor carriers. These support control and data transmissions and since Release 14 mobile terminated and originated system access.</w:t>
      </w:r>
    </w:p>
    <w:p w14:paraId="5607F941" w14:textId="35272B9C" w:rsidR="003E4DB2" w:rsidRPr="00987105" w:rsidRDefault="003E4DB2" w:rsidP="003E4DB2">
      <w:pPr>
        <w:pStyle w:val="BodyText"/>
        <w:rPr>
          <w:sz w:val="20"/>
          <w:szCs w:val="20"/>
        </w:rPr>
      </w:pPr>
      <w:r w:rsidRPr="00987105">
        <w:rPr>
          <w:sz w:val="20"/>
          <w:szCs w:val="20"/>
        </w:rPr>
        <w:t>To support power efficient UE operation, NB-IoT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05AE2B3F" w14:textId="77777777" w:rsidR="00987105" w:rsidRDefault="00987105" w:rsidP="00987105">
      <w:pPr>
        <w:pStyle w:val="Observation"/>
        <w:numPr>
          <w:ilvl w:val="0"/>
          <w:numId w:val="0"/>
        </w:numPr>
      </w:pPr>
    </w:p>
    <w:p w14:paraId="0AF20FC1" w14:textId="56381482" w:rsidR="003E4DB2" w:rsidRPr="00CE0424" w:rsidRDefault="003E4DB2" w:rsidP="003E4DB2">
      <w:pPr>
        <w:pStyle w:val="Heading1"/>
      </w:pPr>
      <w:r>
        <w:t>3</w:t>
      </w:r>
      <w:r>
        <w:tab/>
        <w:t>IoT NTN</w:t>
      </w:r>
      <w:r w:rsidR="005307D2">
        <w:t xml:space="preserve"> Roadmap</w:t>
      </w:r>
    </w:p>
    <w:p w14:paraId="03530A20" w14:textId="34352752" w:rsidR="003E4DB2" w:rsidRPr="00F302CB" w:rsidRDefault="003E4DB2" w:rsidP="003E4DB2">
      <w:pPr>
        <w:pStyle w:val="Heading2"/>
      </w:pPr>
      <w:r>
        <w:t>3.1</w:t>
      </w:r>
      <w:r>
        <w:tab/>
        <w:t>C</w:t>
      </w:r>
      <w:r w:rsidR="005E02F0">
        <w:t>onclusion from the email thread</w:t>
      </w:r>
      <w:r w:rsidR="001A66AB">
        <w:t xml:space="preserve"> in RAN#91-e</w:t>
      </w:r>
      <w:r>
        <w:t xml:space="preserve"> </w:t>
      </w:r>
    </w:p>
    <w:p w14:paraId="1E59F0C1" w14:textId="31CAA41B" w:rsidR="001A66AB" w:rsidRDefault="001A66AB" w:rsidP="005E02F0">
      <w:pPr>
        <w:overflowPunct w:val="0"/>
        <w:autoSpaceDE w:val="0"/>
        <w:autoSpaceDN w:val="0"/>
        <w:adjustRightInd w:val="0"/>
        <w:spacing w:after="180" w:line="240" w:lineRule="auto"/>
        <w:textAlignment w:val="baseline"/>
        <w:rPr>
          <w:rFonts w:ascii="Arial" w:eastAsia="SimSun" w:hAnsi="Arial" w:cs="Times New Roman"/>
          <w:sz w:val="20"/>
          <w:szCs w:val="20"/>
          <w:lang w:eastAsia="ja-JP"/>
        </w:rPr>
      </w:pPr>
      <w:r w:rsidRPr="001A66AB">
        <w:rPr>
          <w:rFonts w:ascii="Arial" w:eastAsia="SimSun" w:hAnsi="Arial" w:cs="Times New Roman"/>
          <w:sz w:val="20"/>
          <w:szCs w:val="20"/>
          <w:lang w:eastAsia="ja-JP"/>
        </w:rPr>
        <w:t xml:space="preserve">The following </w:t>
      </w:r>
      <w:r>
        <w:rPr>
          <w:rFonts w:ascii="Arial" w:eastAsia="SimSun" w:hAnsi="Arial" w:cs="Times New Roman"/>
          <w:sz w:val="20"/>
          <w:szCs w:val="20"/>
          <w:lang w:eastAsia="ja-JP"/>
        </w:rPr>
        <w:t xml:space="preserve">is the final </w:t>
      </w:r>
      <w:r w:rsidRPr="001A66AB">
        <w:rPr>
          <w:rFonts w:ascii="Arial" w:eastAsia="SimSun" w:hAnsi="Arial" w:cs="Times New Roman"/>
          <w:sz w:val="20"/>
          <w:szCs w:val="20"/>
          <w:lang w:eastAsia="ja-JP"/>
        </w:rPr>
        <w:t xml:space="preserve">proposal </w:t>
      </w:r>
      <w:r>
        <w:rPr>
          <w:rFonts w:ascii="Arial" w:eastAsia="SimSun" w:hAnsi="Arial" w:cs="Times New Roman"/>
          <w:sz w:val="20"/>
          <w:szCs w:val="20"/>
          <w:lang w:eastAsia="ja-JP"/>
        </w:rPr>
        <w:t xml:space="preserve">from the moderator of the discussion </w:t>
      </w:r>
      <w:r w:rsidR="00B76820">
        <w:rPr>
          <w:rFonts w:ascii="Arial" w:eastAsia="SimSun" w:hAnsi="Arial" w:cs="Times New Roman"/>
          <w:sz w:val="20"/>
          <w:szCs w:val="20"/>
          <w:lang w:eastAsia="ja-JP"/>
        </w:rPr>
        <w:t xml:space="preserve">prior to the online session </w:t>
      </w:r>
      <w:r w:rsidR="006C5423">
        <w:rPr>
          <w:rFonts w:ascii="Arial" w:eastAsia="SimSun" w:hAnsi="Arial" w:cs="Times New Roman"/>
          <w:sz w:val="20"/>
          <w:szCs w:val="20"/>
          <w:lang w:eastAsia="ja-JP"/>
        </w:rPr>
        <w:t>during the RAN plenary meeting</w:t>
      </w:r>
      <w:r w:rsidR="00FB3691">
        <w:rPr>
          <w:rFonts w:ascii="Arial" w:eastAsia="SimSun" w:hAnsi="Arial" w:cs="Times New Roman"/>
          <w:sz w:val="20"/>
          <w:szCs w:val="20"/>
          <w:lang w:eastAsia="ja-JP"/>
        </w:rPr>
        <w:t>.T</w:t>
      </w:r>
      <w:r w:rsidR="006C5423">
        <w:rPr>
          <w:rFonts w:ascii="Arial" w:eastAsia="SimSun" w:hAnsi="Arial" w:cs="Times New Roman"/>
          <w:sz w:val="20"/>
          <w:szCs w:val="20"/>
          <w:lang w:eastAsia="ja-JP"/>
        </w:rPr>
        <w:t xml:space="preserve">he document </w:t>
      </w:r>
      <w:r w:rsidR="00B76820">
        <w:rPr>
          <w:rFonts w:ascii="Arial" w:eastAsia="SimSun" w:hAnsi="Arial" w:cs="Times New Roman"/>
          <w:sz w:val="20"/>
          <w:szCs w:val="20"/>
          <w:lang w:eastAsia="ja-JP"/>
        </w:rPr>
        <w:t>was eventually “noted”</w:t>
      </w:r>
      <w:r w:rsidR="00BA5FE8">
        <w:rPr>
          <w:rFonts w:ascii="Arial" w:eastAsia="SimSun" w:hAnsi="Arial" w:cs="Times New Roman"/>
          <w:sz w:val="20"/>
          <w:szCs w:val="20"/>
          <w:lang w:eastAsia="ja-JP"/>
        </w:rPr>
        <w:t xml:space="preserve"> rather than endorse</w:t>
      </w:r>
      <w:r w:rsidR="00FB3691">
        <w:rPr>
          <w:rFonts w:ascii="Arial" w:eastAsia="SimSun" w:hAnsi="Arial" w:cs="Times New Roman"/>
          <w:sz w:val="20"/>
          <w:szCs w:val="20"/>
          <w:lang w:eastAsia="ja-JP"/>
        </w:rPr>
        <w:t xml:space="preserve">d and no </w:t>
      </w:r>
      <w:r w:rsidR="00D739FB">
        <w:rPr>
          <w:rFonts w:ascii="Arial" w:eastAsia="SimSun" w:hAnsi="Arial" w:cs="Times New Roman"/>
          <w:sz w:val="20"/>
          <w:szCs w:val="20"/>
          <w:lang w:eastAsia="ja-JP"/>
        </w:rPr>
        <w:t xml:space="preserve">official </w:t>
      </w:r>
      <w:r w:rsidR="00FB3691">
        <w:rPr>
          <w:rFonts w:ascii="Arial" w:eastAsia="SimSun" w:hAnsi="Arial" w:cs="Times New Roman"/>
          <w:sz w:val="20"/>
          <w:szCs w:val="20"/>
          <w:lang w:eastAsia="ja-JP"/>
        </w:rPr>
        <w:t xml:space="preserve">guidance </w:t>
      </w:r>
      <w:r w:rsidR="00D739FB">
        <w:rPr>
          <w:rFonts w:ascii="Arial" w:eastAsia="SimSun" w:hAnsi="Arial" w:cs="Times New Roman"/>
          <w:sz w:val="20"/>
          <w:szCs w:val="20"/>
          <w:lang w:eastAsia="ja-JP"/>
        </w:rPr>
        <w:t xml:space="preserve">was provided </w:t>
      </w:r>
      <w:r w:rsidR="00201EB3">
        <w:rPr>
          <w:rFonts w:ascii="Arial" w:eastAsia="SimSun" w:hAnsi="Arial" w:cs="Times New Roman"/>
          <w:sz w:val="20"/>
          <w:szCs w:val="20"/>
          <w:lang w:eastAsia="ja-JP"/>
        </w:rPr>
        <w:t xml:space="preserve">other </w:t>
      </w:r>
      <w:r w:rsidR="00006BCA">
        <w:rPr>
          <w:rFonts w:ascii="Arial" w:eastAsia="SimSun" w:hAnsi="Arial" w:cs="Times New Roman"/>
          <w:sz w:val="20"/>
          <w:szCs w:val="20"/>
          <w:lang w:eastAsia="ja-JP"/>
        </w:rPr>
        <w:t xml:space="preserve">than to </w:t>
      </w:r>
      <w:r w:rsidR="00F318F1">
        <w:rPr>
          <w:rFonts w:ascii="Arial" w:eastAsia="SimSun" w:hAnsi="Arial" w:cs="Times New Roman"/>
          <w:sz w:val="20"/>
          <w:szCs w:val="20"/>
          <w:lang w:eastAsia="ja-JP"/>
        </w:rPr>
        <w:t>”</w:t>
      </w:r>
      <w:r w:rsidR="00F24EDB" w:rsidRPr="00F24EDB">
        <w:rPr>
          <w:rFonts w:ascii="Arial" w:eastAsia="SimSun" w:hAnsi="Arial" w:cs="Times New Roman"/>
          <w:sz w:val="20"/>
          <w:szCs w:val="20"/>
          <w:lang w:eastAsia="ja-JP"/>
        </w:rPr>
        <w:t>encourage companies to make a dedicated and honest effort to scope this item so that it fits into the TU budget</w:t>
      </w:r>
      <w:r w:rsidR="00F318F1">
        <w:rPr>
          <w:rFonts w:ascii="Arial" w:eastAsia="SimSun" w:hAnsi="Arial" w:cs="Times New Roman"/>
          <w:sz w:val="20"/>
          <w:szCs w:val="20"/>
          <w:lang w:eastAsia="ja-JP"/>
        </w:rPr>
        <w:t>”</w:t>
      </w:r>
      <w:r w:rsidR="00B76820">
        <w:rPr>
          <w:rFonts w:ascii="Arial" w:eastAsia="SimSun" w:hAnsi="Arial" w:cs="Times New Roman"/>
          <w:sz w:val="20"/>
          <w:szCs w:val="20"/>
          <w:lang w:eastAsia="ja-JP"/>
        </w:rPr>
        <w:t>.</w:t>
      </w:r>
    </w:p>
    <w:p w14:paraId="07BBAA37" w14:textId="77777777" w:rsidR="005E02F0" w:rsidRPr="005E02F0" w:rsidRDefault="005E02F0" w:rsidP="005E02F0">
      <w:pPr>
        <w:overflowPunct w:val="0"/>
        <w:autoSpaceDE w:val="0"/>
        <w:autoSpaceDN w:val="0"/>
        <w:adjustRightInd w:val="0"/>
        <w:spacing w:after="180" w:line="240" w:lineRule="auto"/>
        <w:textAlignment w:val="baseline"/>
        <w:rPr>
          <w:rFonts w:ascii="Arial" w:eastAsia="SimSun" w:hAnsi="Arial" w:cs="Times New Roman"/>
          <w:b/>
          <w:bCs/>
          <w:sz w:val="20"/>
          <w:szCs w:val="20"/>
          <w:lang w:eastAsia="ja-JP"/>
        </w:rPr>
      </w:pPr>
      <w:r w:rsidRPr="005E02F0">
        <w:rPr>
          <w:rFonts w:ascii="Arial" w:eastAsia="SimSun" w:hAnsi="Arial" w:cs="Times New Roman"/>
          <w:b/>
          <w:bCs/>
          <w:sz w:val="20"/>
          <w:szCs w:val="20"/>
          <w:lang w:eastAsia="ja-JP"/>
        </w:rPr>
        <w:t>Proposal:</w:t>
      </w:r>
    </w:p>
    <w:p w14:paraId="457DB5DB" w14:textId="77777777" w:rsidR="005E02F0" w:rsidRPr="005E02F0" w:rsidRDefault="005E02F0" w:rsidP="005E02F0">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The study on IoT over NTN should target the following by RAN#92</w:t>
      </w:r>
    </w:p>
    <w:p w14:paraId="02B65D0B" w14:textId="77777777" w:rsidR="005E02F0" w:rsidRPr="005E02F0" w:rsidRDefault="005E02F0" w:rsidP="005E02F0">
      <w:pPr>
        <w:numPr>
          <w:ilvl w:val="1"/>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Detailed study of solutions addressing essential functionality for GEO and NGSO scenarios, prioritizing at least the use case of intermittent delay-tolerant small packet transmissions </w:t>
      </w:r>
    </w:p>
    <w:p w14:paraId="291C113D" w14:textId="77777777" w:rsidR="005E02F0" w:rsidRPr="005E02F0" w:rsidRDefault="005E02F0" w:rsidP="005E02F0">
      <w:pPr>
        <w:numPr>
          <w:ilvl w:val="1"/>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Prioritization of potential enhancements for the functionalities needed specifically for IoT over NTN that cannot be translated from the ongoing NR NTN WI for the considered scenarios and use case(s) in the study</w:t>
      </w:r>
    </w:p>
    <w:p w14:paraId="34CE2B61" w14:textId="77777777" w:rsidR="005E02F0" w:rsidRPr="005E02F0" w:rsidRDefault="005E02F0" w:rsidP="005E02F0">
      <w:pPr>
        <w:numPr>
          <w:ilvl w:val="1"/>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Recommendations on specification changes needed at least for essential functionality (to be determined by working groups targeting Rel-17), for the considered scenarios and use case(s)  </w:t>
      </w:r>
    </w:p>
    <w:p w14:paraId="6462E707" w14:textId="77777777" w:rsidR="005E02F0" w:rsidRPr="005E02F0" w:rsidRDefault="005E02F0" w:rsidP="005E02F0">
      <w:pPr>
        <w:numPr>
          <w:ilvl w:val="1"/>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Note: Additional enhancements on at least the following can be considered by the working groups as candidates for non-essential functionality in Rel-17.</w:t>
      </w:r>
    </w:p>
    <w:p w14:paraId="4145D9A0"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HARQ </w:t>
      </w:r>
    </w:p>
    <w:p w14:paraId="2FBAA00D"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Latency </w:t>
      </w:r>
    </w:p>
    <w:p w14:paraId="259ACCCB"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Power consumption </w:t>
      </w:r>
    </w:p>
    <w:p w14:paraId="3EAF58D2"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Spectral efficiency </w:t>
      </w:r>
    </w:p>
    <w:p w14:paraId="67EF384B"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Coverage </w:t>
      </w:r>
    </w:p>
    <w:p w14:paraId="5F4F8470"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Mobility </w:t>
      </w:r>
    </w:p>
    <w:p w14:paraId="0898ABCF" w14:textId="77777777" w:rsidR="005E02F0" w:rsidRPr="005E02F0" w:rsidRDefault="005E02F0" w:rsidP="005E02F0">
      <w:pPr>
        <w:numPr>
          <w:ilvl w:val="2"/>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RLF and re-establishment handling </w:t>
      </w:r>
    </w:p>
    <w:p w14:paraId="6403E5FC" w14:textId="77777777" w:rsidR="005E02F0" w:rsidRPr="005E02F0" w:rsidRDefault="005E02F0" w:rsidP="005E02F0">
      <w:pPr>
        <w:numPr>
          <w:ilvl w:val="0"/>
          <w:numId w:val="37"/>
        </w:numPr>
        <w:overflowPunct w:val="0"/>
        <w:autoSpaceDE w:val="0"/>
        <w:autoSpaceDN w:val="0"/>
        <w:adjustRightInd w:val="0"/>
        <w:spacing w:after="0" w:line="240" w:lineRule="auto"/>
        <w:textAlignment w:val="baseline"/>
        <w:rPr>
          <w:rFonts w:ascii="Arial" w:eastAsia="Calibri" w:hAnsi="Arial" w:cs="Arial"/>
          <w:sz w:val="20"/>
          <w:szCs w:val="20"/>
          <w:lang w:val="x-none"/>
        </w:rPr>
      </w:pPr>
      <w:r w:rsidRPr="005E02F0">
        <w:rPr>
          <w:rFonts w:ascii="Arial" w:eastAsia="Calibri" w:hAnsi="Arial" w:cs="Arial"/>
          <w:sz w:val="20"/>
          <w:szCs w:val="20"/>
          <w:lang w:val="x-none"/>
        </w:rPr>
        <w:lastRenderedPageBreak/>
        <w:t>Time permitting, at least a high-level description of the potential solutions for enhancements targeting potential optimization of IoT NTN in later releases can be captured in TR 36.763, when feasible.</w:t>
      </w:r>
    </w:p>
    <w:p w14:paraId="049AE0D2" w14:textId="77777777" w:rsidR="005E02F0" w:rsidRPr="005E02F0" w:rsidRDefault="005E02F0" w:rsidP="005E02F0">
      <w:pPr>
        <w:overflowPunct w:val="0"/>
        <w:autoSpaceDE w:val="0"/>
        <w:autoSpaceDN w:val="0"/>
        <w:adjustRightInd w:val="0"/>
        <w:spacing w:after="180" w:line="240" w:lineRule="auto"/>
        <w:textAlignment w:val="baseline"/>
        <w:rPr>
          <w:rFonts w:ascii="Arial" w:eastAsia="SimSun" w:hAnsi="Arial" w:cs="Times New Roman"/>
          <w:sz w:val="20"/>
          <w:szCs w:val="20"/>
          <w:lang w:eastAsia="ja-JP"/>
        </w:rPr>
      </w:pPr>
    </w:p>
    <w:p w14:paraId="0B680924" w14:textId="4BC30D91" w:rsidR="00A0363F" w:rsidRPr="00F302CB" w:rsidRDefault="00A0363F" w:rsidP="00A0363F">
      <w:pPr>
        <w:pStyle w:val="Heading2"/>
      </w:pPr>
      <w:r>
        <w:t>3.1</w:t>
      </w:r>
      <w:r>
        <w:tab/>
        <w:t xml:space="preserve">Scope and essential functionality </w:t>
      </w:r>
    </w:p>
    <w:p w14:paraId="62995F87" w14:textId="44D206E7" w:rsidR="005E02F0" w:rsidRPr="00DA275B" w:rsidRDefault="00683C96" w:rsidP="00DA275B">
      <w:pPr>
        <w:overflowPunct w:val="0"/>
        <w:autoSpaceDE w:val="0"/>
        <w:autoSpaceDN w:val="0"/>
        <w:adjustRightInd w:val="0"/>
        <w:spacing w:after="180" w:line="240" w:lineRule="auto"/>
        <w:jc w:val="both"/>
        <w:textAlignment w:val="baseline"/>
        <w:rPr>
          <w:rFonts w:ascii="Arial" w:eastAsia="SimSun" w:hAnsi="Arial" w:cs="Times New Roman"/>
          <w:sz w:val="20"/>
          <w:szCs w:val="20"/>
          <w:lang w:eastAsia="ja-JP"/>
        </w:rPr>
      </w:pPr>
      <w:r>
        <w:rPr>
          <w:rFonts w:ascii="Arial" w:eastAsia="SimSun" w:hAnsi="Arial" w:cs="Arial"/>
          <w:sz w:val="20"/>
          <w:szCs w:val="20"/>
          <w:lang w:eastAsia="ja-JP"/>
        </w:rPr>
        <w:t>U</w:t>
      </w:r>
      <w:r w:rsidRPr="005E02F0">
        <w:rPr>
          <w:rFonts w:ascii="Arial" w:eastAsia="SimSun" w:hAnsi="Arial" w:cs="Arial"/>
          <w:sz w:val="20"/>
          <w:szCs w:val="20"/>
          <w:lang w:eastAsia="ja-JP"/>
        </w:rPr>
        <w:t>se case of intermittent delay-tolerant small packet transmissions</w:t>
      </w:r>
      <w:r>
        <w:rPr>
          <w:rFonts w:ascii="Arial" w:eastAsia="SimSun" w:hAnsi="Arial" w:cs="Arial"/>
          <w:sz w:val="20"/>
          <w:szCs w:val="20"/>
          <w:lang w:eastAsia="ja-JP"/>
        </w:rPr>
        <w:t xml:space="preserve"> should be considered for detailed study to capture </w:t>
      </w:r>
      <w:r w:rsidRPr="005E02F0">
        <w:rPr>
          <w:rFonts w:ascii="Arial" w:eastAsia="SimSun" w:hAnsi="Arial" w:cs="Arial"/>
          <w:sz w:val="20"/>
          <w:szCs w:val="20"/>
          <w:lang w:eastAsia="ja-JP"/>
        </w:rPr>
        <w:t>solutions addressing essential functionality for GEO and NGSO scenarios</w:t>
      </w:r>
      <w:r>
        <w:rPr>
          <w:rFonts w:ascii="Arial" w:eastAsia="SimSun" w:hAnsi="Arial" w:cs="Arial"/>
          <w:sz w:val="20"/>
          <w:szCs w:val="20"/>
          <w:lang w:eastAsia="ja-JP"/>
        </w:rPr>
        <w:t xml:space="preserve">. Other cases should not be precluded unless it is clear that significant effort is required for detailed study. One important </w:t>
      </w:r>
      <w:r w:rsidR="00B73054">
        <w:rPr>
          <w:rFonts w:ascii="Arial" w:eastAsia="SimSun" w:hAnsi="Arial" w:cs="Arial"/>
          <w:sz w:val="20"/>
          <w:szCs w:val="20"/>
          <w:lang w:eastAsia="ja-JP"/>
        </w:rPr>
        <w:t>criterion</w:t>
      </w:r>
      <w:r>
        <w:rPr>
          <w:rFonts w:ascii="Arial" w:eastAsia="SimSun" w:hAnsi="Arial" w:cs="Arial"/>
          <w:sz w:val="20"/>
          <w:szCs w:val="20"/>
          <w:lang w:eastAsia="ja-JP"/>
        </w:rPr>
        <w:t xml:space="preserve"> to consider </w:t>
      </w:r>
      <w:r w:rsidR="00B73054">
        <w:rPr>
          <w:rFonts w:ascii="Arial" w:eastAsia="SimSun" w:hAnsi="Arial" w:cs="Arial"/>
          <w:sz w:val="20"/>
          <w:szCs w:val="20"/>
          <w:lang w:eastAsia="ja-JP"/>
        </w:rPr>
        <w:t xml:space="preserve">is </w:t>
      </w:r>
      <w:r>
        <w:rPr>
          <w:rFonts w:ascii="Arial" w:eastAsia="SimSun" w:hAnsi="Arial" w:cs="Arial"/>
          <w:sz w:val="20"/>
          <w:szCs w:val="20"/>
          <w:lang w:eastAsia="ja-JP"/>
        </w:rPr>
        <w:t>the use</w:t>
      </w:r>
      <w:r w:rsidR="00B73054">
        <w:rPr>
          <w:rFonts w:ascii="Arial" w:eastAsia="SimSun" w:hAnsi="Arial" w:cs="Arial"/>
          <w:sz w:val="20"/>
          <w:szCs w:val="20"/>
          <w:lang w:eastAsia="ja-JP"/>
        </w:rPr>
        <w:t xml:space="preserve"> </w:t>
      </w:r>
      <w:r>
        <w:rPr>
          <w:rFonts w:ascii="Arial" w:eastAsia="SimSun" w:hAnsi="Arial" w:cs="Arial"/>
          <w:sz w:val="20"/>
          <w:szCs w:val="20"/>
          <w:lang w:eastAsia="ja-JP"/>
        </w:rPr>
        <w:t xml:space="preserve">cases </w:t>
      </w:r>
      <w:r w:rsidR="00B73054">
        <w:rPr>
          <w:rFonts w:ascii="Arial" w:eastAsia="SimSun" w:hAnsi="Arial" w:cs="Arial"/>
          <w:sz w:val="20"/>
          <w:szCs w:val="20"/>
          <w:lang w:eastAsia="ja-JP"/>
        </w:rPr>
        <w:t xml:space="preserve">for what NB-IoT and LTE-M are designed for. </w:t>
      </w:r>
      <w:r w:rsidR="0080217E">
        <w:rPr>
          <w:rFonts w:ascii="Arial" w:eastAsia="SimSun" w:hAnsi="Arial" w:cs="Arial"/>
          <w:sz w:val="20"/>
          <w:szCs w:val="20"/>
          <w:lang w:eastAsia="ja-JP"/>
        </w:rPr>
        <w:t>For example</w:t>
      </w:r>
      <w:r w:rsidR="0074461C">
        <w:rPr>
          <w:rFonts w:ascii="Arial" w:eastAsia="SimSun" w:hAnsi="Arial" w:cs="Arial"/>
          <w:sz w:val="20"/>
          <w:szCs w:val="20"/>
          <w:lang w:eastAsia="ja-JP"/>
        </w:rPr>
        <w:t>,</w:t>
      </w:r>
      <w:r w:rsidR="0080217E">
        <w:rPr>
          <w:rFonts w:ascii="Arial" w:eastAsia="SimSun" w:hAnsi="Arial" w:cs="Arial"/>
          <w:sz w:val="20"/>
          <w:szCs w:val="20"/>
          <w:lang w:eastAsia="ja-JP"/>
        </w:rPr>
        <w:t xml:space="preserve"> m</w:t>
      </w:r>
      <w:r w:rsidR="00B73054">
        <w:rPr>
          <w:rFonts w:ascii="Arial" w:eastAsia="SimSun" w:hAnsi="Arial" w:cs="Arial"/>
          <w:sz w:val="20"/>
          <w:szCs w:val="20"/>
          <w:lang w:eastAsia="ja-JP"/>
        </w:rPr>
        <w:t xml:space="preserve">obility and support for certain services such as voice are </w:t>
      </w:r>
      <w:r w:rsidR="0080217E">
        <w:rPr>
          <w:rFonts w:ascii="Arial" w:eastAsia="SimSun" w:hAnsi="Arial" w:cs="Arial"/>
          <w:sz w:val="20"/>
          <w:szCs w:val="20"/>
          <w:lang w:eastAsia="ja-JP"/>
        </w:rPr>
        <w:t>two</w:t>
      </w:r>
      <w:r w:rsidR="00B73054">
        <w:rPr>
          <w:rFonts w:ascii="Arial" w:eastAsia="SimSun" w:hAnsi="Arial" w:cs="Arial"/>
          <w:sz w:val="20"/>
          <w:szCs w:val="20"/>
          <w:lang w:eastAsia="ja-JP"/>
        </w:rPr>
        <w:t xml:space="preserve"> of those aspects. </w:t>
      </w:r>
      <w:r w:rsidR="0074461C">
        <w:rPr>
          <w:rFonts w:ascii="Arial" w:eastAsia="SimSun" w:hAnsi="Arial" w:cs="Arial"/>
          <w:sz w:val="20"/>
          <w:szCs w:val="20"/>
          <w:lang w:eastAsia="ja-JP"/>
        </w:rPr>
        <w:t xml:space="preserve">Therefore, one needs to be careful when </w:t>
      </w:r>
      <w:r w:rsidR="00DA275B">
        <w:rPr>
          <w:rFonts w:ascii="Arial" w:eastAsia="SimSun" w:hAnsi="Arial" w:cs="Arial"/>
          <w:sz w:val="20"/>
          <w:szCs w:val="20"/>
          <w:lang w:eastAsia="ja-JP"/>
        </w:rPr>
        <w:t>considering limiting</w:t>
      </w:r>
      <w:r w:rsidR="0074461C">
        <w:rPr>
          <w:rFonts w:ascii="Arial" w:eastAsia="SimSun" w:hAnsi="Arial" w:cs="Arial"/>
          <w:sz w:val="20"/>
          <w:szCs w:val="20"/>
          <w:lang w:eastAsia="ja-JP"/>
        </w:rPr>
        <w:t xml:space="preserve"> the use cases</w:t>
      </w:r>
      <w:r w:rsidR="00DA275B">
        <w:rPr>
          <w:rFonts w:ascii="Arial" w:eastAsia="SimSun" w:hAnsi="Arial" w:cs="Arial"/>
          <w:sz w:val="20"/>
          <w:szCs w:val="20"/>
          <w:lang w:eastAsia="ja-JP"/>
        </w:rPr>
        <w:t xml:space="preserve"> </w:t>
      </w:r>
      <w:r w:rsidR="0074461C">
        <w:rPr>
          <w:rFonts w:ascii="Arial" w:eastAsia="SimSun" w:hAnsi="Arial" w:cs="Arial"/>
          <w:sz w:val="20"/>
          <w:szCs w:val="20"/>
          <w:lang w:eastAsia="ja-JP"/>
        </w:rPr>
        <w:t xml:space="preserve">and </w:t>
      </w:r>
      <w:r w:rsidR="002927F9">
        <w:rPr>
          <w:rFonts w:ascii="Arial" w:eastAsia="SimSun" w:hAnsi="Arial" w:cs="Arial"/>
          <w:sz w:val="20"/>
          <w:szCs w:val="20"/>
          <w:lang w:eastAsia="ja-JP"/>
        </w:rPr>
        <w:t xml:space="preserve">referring to “small” data as a means to limit the scope. </w:t>
      </w:r>
      <w:r w:rsidR="00DA275B">
        <w:rPr>
          <w:rFonts w:ascii="Arial" w:eastAsia="SimSun" w:hAnsi="Arial" w:cs="Arial"/>
          <w:sz w:val="20"/>
          <w:szCs w:val="20"/>
          <w:lang w:eastAsia="ja-JP"/>
        </w:rPr>
        <w:t>Nevertheless, it is not clear yet whether such measures will reduce the work significant</w:t>
      </w:r>
      <w:r w:rsidR="004E4986">
        <w:rPr>
          <w:rFonts w:ascii="Arial" w:eastAsia="SimSun" w:hAnsi="Arial" w:cs="Arial"/>
          <w:sz w:val="20"/>
          <w:szCs w:val="20"/>
          <w:lang w:eastAsia="ja-JP"/>
        </w:rPr>
        <w:t>l</w:t>
      </w:r>
      <w:r w:rsidR="004E4986" w:rsidRPr="006D24F5">
        <w:rPr>
          <w:rFonts w:ascii="Arial" w:eastAsia="SimSun" w:hAnsi="Arial" w:cs="Arial"/>
          <w:sz w:val="20"/>
          <w:szCs w:val="20"/>
          <w:lang w:eastAsia="ja-JP"/>
        </w:rPr>
        <w:t>y</w:t>
      </w:r>
      <w:r w:rsidR="00DA275B">
        <w:rPr>
          <w:rFonts w:ascii="Arial" w:eastAsia="SimSun" w:hAnsi="Arial" w:cs="Arial"/>
          <w:sz w:val="20"/>
          <w:szCs w:val="20"/>
          <w:lang w:eastAsia="ja-JP"/>
        </w:rPr>
        <w:t xml:space="preserve"> enough to </w:t>
      </w:r>
      <w:r w:rsidR="006D24F5">
        <w:rPr>
          <w:rFonts w:ascii="Arial" w:eastAsia="SimSun" w:hAnsi="Arial" w:cs="Arial"/>
          <w:sz w:val="20"/>
          <w:szCs w:val="20"/>
          <w:lang w:eastAsia="ja-JP"/>
        </w:rPr>
        <w:t>reduce</w:t>
      </w:r>
      <w:r w:rsidR="00DA275B">
        <w:rPr>
          <w:rFonts w:ascii="Arial" w:eastAsia="SimSun" w:hAnsi="Arial" w:cs="Arial"/>
          <w:sz w:val="20"/>
          <w:szCs w:val="20"/>
          <w:lang w:eastAsia="ja-JP"/>
        </w:rPr>
        <w:t xml:space="preserve"> the time it takes to compete the study.</w:t>
      </w:r>
    </w:p>
    <w:p w14:paraId="11D73AFF" w14:textId="77777777" w:rsidR="00DA275B" w:rsidRPr="00987105" w:rsidRDefault="00DA275B" w:rsidP="00DA275B">
      <w:pPr>
        <w:pStyle w:val="BodyText"/>
        <w:rPr>
          <w:sz w:val="20"/>
          <w:szCs w:val="20"/>
        </w:rPr>
      </w:pPr>
    </w:p>
    <w:p w14:paraId="08FF101F" w14:textId="442FE422" w:rsidR="00DA275B" w:rsidRDefault="00CA36E9" w:rsidP="00DA275B">
      <w:pPr>
        <w:pStyle w:val="Observation"/>
        <w:rPr>
          <w:sz w:val="20"/>
          <w:szCs w:val="20"/>
        </w:rPr>
      </w:pPr>
      <w:bookmarkStart w:id="1" w:name="_Toc68246368"/>
      <w:r>
        <w:rPr>
          <w:sz w:val="20"/>
          <w:szCs w:val="20"/>
        </w:rPr>
        <w:t xml:space="preserve">It is not clear whether use cases other than </w:t>
      </w:r>
      <w:r w:rsidRPr="005E02F0">
        <w:rPr>
          <w:rFonts w:eastAsia="SimSun" w:cs="Arial"/>
          <w:sz w:val="20"/>
          <w:szCs w:val="20"/>
        </w:rPr>
        <w:t>intermittent delay-tolerant small packet transmissions</w:t>
      </w:r>
      <w:r>
        <w:rPr>
          <w:rFonts w:eastAsia="SimSun" w:cs="Arial"/>
          <w:sz w:val="20"/>
          <w:szCs w:val="20"/>
        </w:rPr>
        <w:t xml:space="preserve"> require significant effort</w:t>
      </w:r>
      <w:r w:rsidR="00DA275B" w:rsidRPr="00987105">
        <w:rPr>
          <w:sz w:val="20"/>
          <w:szCs w:val="20"/>
        </w:rPr>
        <w:t>.</w:t>
      </w:r>
      <w:bookmarkEnd w:id="1"/>
    </w:p>
    <w:p w14:paraId="3D29185B" w14:textId="77777777" w:rsidR="00CA36E9" w:rsidRPr="00987105" w:rsidRDefault="00CA36E9" w:rsidP="00CA36E9">
      <w:pPr>
        <w:pStyle w:val="Observation"/>
        <w:numPr>
          <w:ilvl w:val="0"/>
          <w:numId w:val="0"/>
        </w:numPr>
        <w:rPr>
          <w:sz w:val="20"/>
          <w:szCs w:val="20"/>
        </w:rPr>
      </w:pPr>
    </w:p>
    <w:p w14:paraId="6C982A8E" w14:textId="410D616D" w:rsidR="00CA36E9" w:rsidRPr="00987105" w:rsidRDefault="00CA36E9" w:rsidP="00CA36E9">
      <w:pPr>
        <w:pStyle w:val="Proposal"/>
        <w:tabs>
          <w:tab w:val="clear" w:pos="1304"/>
        </w:tabs>
        <w:ind w:left="1701" w:hanging="1701"/>
        <w:rPr>
          <w:sz w:val="20"/>
          <w:szCs w:val="20"/>
        </w:rPr>
      </w:pPr>
      <w:bookmarkStart w:id="2" w:name="_Toc68246386"/>
      <w:r w:rsidRPr="00CA36E9">
        <w:rPr>
          <w:sz w:val="20"/>
          <w:szCs w:val="20"/>
        </w:rPr>
        <w:t>Use cases that can be addressed with minimal effort should not be excluded.</w:t>
      </w:r>
      <w:bookmarkEnd w:id="2"/>
    </w:p>
    <w:p w14:paraId="24A57F13" w14:textId="77777777" w:rsidR="00CA36E9" w:rsidRPr="00987105" w:rsidRDefault="00CA36E9" w:rsidP="00CA36E9">
      <w:pPr>
        <w:pStyle w:val="BodyText"/>
        <w:rPr>
          <w:sz w:val="20"/>
          <w:szCs w:val="20"/>
        </w:rPr>
      </w:pPr>
    </w:p>
    <w:p w14:paraId="53B6960B" w14:textId="462EBE5B" w:rsidR="005B6B2C" w:rsidRPr="005B6B2C" w:rsidRDefault="005B6B2C" w:rsidP="00683C96">
      <w:pPr>
        <w:pStyle w:val="BodyText"/>
        <w:rPr>
          <w:rFonts w:eastAsia="SimSun" w:cs="Arial"/>
          <w:sz w:val="20"/>
          <w:szCs w:val="20"/>
          <w:lang w:eastAsia="ja-JP"/>
        </w:rPr>
      </w:pPr>
      <w:r>
        <w:rPr>
          <w:sz w:val="20"/>
          <w:szCs w:val="20"/>
        </w:rPr>
        <w:t xml:space="preserve">During the discussion which functionalities can be considered as essential was also brought up with the following list of </w:t>
      </w:r>
      <w:r w:rsidR="007B593B">
        <w:rPr>
          <w:sz w:val="20"/>
          <w:szCs w:val="20"/>
        </w:rPr>
        <w:t xml:space="preserve">aspects for which additional enhancements would be </w:t>
      </w:r>
      <w:r w:rsidRPr="005E02F0">
        <w:rPr>
          <w:rFonts w:eastAsia="SimSun" w:cs="Arial"/>
          <w:sz w:val="20"/>
          <w:szCs w:val="20"/>
          <w:lang w:eastAsia="ja-JP"/>
        </w:rPr>
        <w:t>candidates for non-essential functionality in Rel-17</w:t>
      </w:r>
      <w:r>
        <w:rPr>
          <w:rFonts w:eastAsia="SimSun" w:cs="Arial"/>
          <w:sz w:val="20"/>
          <w:szCs w:val="20"/>
          <w:lang w:eastAsia="ja-JP"/>
        </w:rPr>
        <w:t>:</w:t>
      </w:r>
    </w:p>
    <w:p w14:paraId="584ED5B7" w14:textId="77777777" w:rsidR="005B6B2C" w:rsidRPr="005E02F0" w:rsidRDefault="005B6B2C" w:rsidP="005B6B2C">
      <w:pPr>
        <w:numPr>
          <w:ilvl w:val="0"/>
          <w:numId w:val="37"/>
        </w:numPr>
        <w:overflowPunct w:val="0"/>
        <w:autoSpaceDE w:val="0"/>
        <w:autoSpaceDN w:val="0"/>
        <w:adjustRightInd w:val="0"/>
        <w:spacing w:before="240" w:after="180" w:line="240" w:lineRule="auto"/>
        <w:ind w:left="714" w:hanging="357"/>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HARQ </w:t>
      </w:r>
    </w:p>
    <w:p w14:paraId="6369A346"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Latency </w:t>
      </w:r>
    </w:p>
    <w:p w14:paraId="66A98D71"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Power consumption </w:t>
      </w:r>
    </w:p>
    <w:p w14:paraId="11A4202A"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Spectral efficiency </w:t>
      </w:r>
    </w:p>
    <w:p w14:paraId="6072A540"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Coverage </w:t>
      </w:r>
    </w:p>
    <w:p w14:paraId="293A78B8"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Mobility </w:t>
      </w:r>
    </w:p>
    <w:p w14:paraId="4335F6F9" w14:textId="77777777" w:rsidR="005B6B2C" w:rsidRPr="005E02F0" w:rsidRDefault="005B6B2C" w:rsidP="005B6B2C">
      <w:pPr>
        <w:numPr>
          <w:ilvl w:val="0"/>
          <w:numId w:val="37"/>
        </w:num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5E02F0">
        <w:rPr>
          <w:rFonts w:ascii="Arial" w:eastAsia="SimSun" w:hAnsi="Arial" w:cs="Arial"/>
          <w:sz w:val="20"/>
          <w:szCs w:val="20"/>
          <w:lang w:eastAsia="ja-JP"/>
        </w:rPr>
        <w:t xml:space="preserve">RLF and re-establishment handling </w:t>
      </w:r>
    </w:p>
    <w:p w14:paraId="27F2A615" w14:textId="3101CA79" w:rsidR="00A0363F" w:rsidRDefault="00A0363F" w:rsidP="005B6B2C">
      <w:pPr>
        <w:pStyle w:val="BodyText"/>
        <w:rPr>
          <w:sz w:val="20"/>
          <w:szCs w:val="20"/>
        </w:rPr>
      </w:pPr>
    </w:p>
    <w:p w14:paraId="0CB780A5" w14:textId="00F87A6A" w:rsidR="005338E7" w:rsidRPr="00F302CB" w:rsidRDefault="005338E7" w:rsidP="005338E7">
      <w:pPr>
        <w:pStyle w:val="Heading3"/>
      </w:pPr>
      <w:r>
        <w:t>3.1.1</w:t>
      </w:r>
      <w:r>
        <w:tab/>
        <w:t xml:space="preserve">HARQ </w:t>
      </w:r>
    </w:p>
    <w:p w14:paraId="25881953" w14:textId="4CA50C4D" w:rsidR="005338E7" w:rsidRPr="00E02E3E" w:rsidRDefault="005338E7" w:rsidP="005338E7">
      <w:pPr>
        <w:spacing w:after="120"/>
        <w:jc w:val="both"/>
        <w:rPr>
          <w:rFonts w:ascii="Arial" w:hAnsi="Arial"/>
          <w:sz w:val="20"/>
          <w:szCs w:val="20"/>
        </w:rPr>
      </w:pPr>
      <w:bookmarkStart w:id="3" w:name="_Hlk61217631"/>
      <w:r w:rsidRPr="00E02E3E">
        <w:rPr>
          <w:rFonts w:ascii="Arial" w:hAnsi="Arial" w:cs="Arial"/>
          <w:sz w:val="20"/>
          <w:szCs w:val="20"/>
        </w:rPr>
        <w:t xml:space="preserve">The enhancements </w:t>
      </w:r>
      <w:r>
        <w:rPr>
          <w:rFonts w:ascii="Arial" w:hAnsi="Arial" w:cs="Arial"/>
          <w:sz w:val="20"/>
          <w:szCs w:val="20"/>
        </w:rPr>
        <w:t xml:space="preserve">required </w:t>
      </w:r>
      <w:r w:rsidRPr="00E02E3E">
        <w:rPr>
          <w:rFonts w:ascii="Arial" w:hAnsi="Arial" w:cs="Arial"/>
          <w:sz w:val="20"/>
          <w:szCs w:val="20"/>
        </w:rPr>
        <w:t xml:space="preserve">for HARQ operation in NTN </w:t>
      </w:r>
      <w:r>
        <w:rPr>
          <w:rFonts w:ascii="Arial" w:hAnsi="Arial" w:cs="Arial"/>
          <w:sz w:val="20"/>
          <w:szCs w:val="20"/>
        </w:rPr>
        <w:t xml:space="preserve">were </w:t>
      </w:r>
      <w:r w:rsidRPr="00E02E3E">
        <w:rPr>
          <w:rFonts w:ascii="Arial" w:hAnsi="Arial" w:cs="Arial"/>
          <w:sz w:val="20"/>
          <w:szCs w:val="20"/>
        </w:rPr>
        <w:t xml:space="preserve">discussed in detail </w:t>
      </w:r>
      <w:r>
        <w:rPr>
          <w:rFonts w:ascii="Arial" w:hAnsi="Arial" w:cs="Arial"/>
          <w:sz w:val="20"/>
          <w:szCs w:val="20"/>
        </w:rPr>
        <w:t xml:space="preserve">during the SI phase for NR NTN in </w:t>
      </w:r>
      <w:r w:rsidRPr="00E02E3E">
        <w:rPr>
          <w:rFonts w:ascii="Arial" w:hAnsi="Arial" w:cs="Arial"/>
          <w:sz w:val="20"/>
          <w:szCs w:val="20"/>
        </w:rPr>
        <w:t xml:space="preserve">Rel-16. </w:t>
      </w:r>
      <w:bookmarkEnd w:id="3"/>
      <w:r w:rsidRPr="00E02E3E">
        <w:rPr>
          <w:rFonts w:ascii="Arial" w:hAnsi="Arial" w:cs="Arial"/>
          <w:sz w:val="20"/>
          <w:szCs w:val="20"/>
        </w:rPr>
        <w:t xml:space="preserve">The issue </w:t>
      </w:r>
      <w:r>
        <w:rPr>
          <w:rFonts w:ascii="Arial" w:hAnsi="Arial" w:cs="Arial"/>
          <w:sz w:val="20"/>
          <w:szCs w:val="20"/>
        </w:rPr>
        <w:t xml:space="preserve">is due to </w:t>
      </w:r>
      <w:r w:rsidRPr="00E02E3E">
        <w:rPr>
          <w:rFonts w:ascii="Arial" w:hAnsi="Arial" w:cs="Arial"/>
          <w:sz w:val="20"/>
          <w:szCs w:val="20"/>
        </w:rPr>
        <w:t xml:space="preserve">the large HARQ RTT in NTN scenarios, which ranges from a few milliseconds to hundreds of milliseconds depending on the satellite orbit. Without any modifications to the </w:t>
      </w:r>
      <w:r>
        <w:rPr>
          <w:rFonts w:ascii="Arial" w:hAnsi="Arial" w:cs="Arial"/>
          <w:sz w:val="20"/>
          <w:szCs w:val="20"/>
        </w:rPr>
        <w:t xml:space="preserve">legacy </w:t>
      </w:r>
      <w:r w:rsidRPr="00E02E3E">
        <w:rPr>
          <w:rFonts w:ascii="Arial" w:hAnsi="Arial" w:cs="Arial"/>
          <w:sz w:val="20"/>
          <w:szCs w:val="20"/>
        </w:rPr>
        <w:t>HARQ procedure, large RTT will considerably reduce the link throughput. To address this issue, different solutions have been proposed for NR NTN including disabling the HARQ feedback and increasing the number of HARQ processes</w:t>
      </w:r>
      <w:r>
        <w:rPr>
          <w:rFonts w:ascii="Arial" w:hAnsi="Arial" w:cs="Arial"/>
          <w:sz w:val="20"/>
          <w:szCs w:val="20"/>
        </w:rPr>
        <w:t xml:space="preserve"> that can be supported</w:t>
      </w:r>
      <w:r w:rsidRPr="00E02E3E">
        <w:rPr>
          <w:rFonts w:ascii="Arial" w:hAnsi="Arial" w:cs="Arial"/>
          <w:sz w:val="20"/>
          <w:szCs w:val="20"/>
        </w:rPr>
        <w:t xml:space="preserve">. </w:t>
      </w:r>
    </w:p>
    <w:p w14:paraId="71405818" w14:textId="77777777" w:rsidR="005338E7" w:rsidRPr="00987105" w:rsidRDefault="005338E7" w:rsidP="005338E7">
      <w:pPr>
        <w:pStyle w:val="BodyText"/>
        <w:rPr>
          <w:sz w:val="20"/>
          <w:szCs w:val="20"/>
        </w:rPr>
      </w:pPr>
    </w:p>
    <w:p w14:paraId="4C8093D8" w14:textId="77777777" w:rsidR="005338E7" w:rsidRDefault="005338E7" w:rsidP="005338E7">
      <w:pPr>
        <w:pStyle w:val="Observation"/>
        <w:rPr>
          <w:sz w:val="20"/>
          <w:szCs w:val="20"/>
        </w:rPr>
      </w:pPr>
      <w:bookmarkStart w:id="4" w:name="_Toc61566827"/>
      <w:bookmarkStart w:id="5" w:name="_Toc68246369"/>
      <w:r w:rsidRPr="006668F3">
        <w:rPr>
          <w:sz w:val="20"/>
          <w:szCs w:val="20"/>
        </w:rPr>
        <w:t xml:space="preserve">The main motivation for introducing </w:t>
      </w:r>
      <w:r>
        <w:rPr>
          <w:sz w:val="20"/>
          <w:szCs w:val="20"/>
        </w:rPr>
        <w:t xml:space="preserve">enhancements for </w:t>
      </w:r>
      <w:r w:rsidRPr="006668F3">
        <w:rPr>
          <w:sz w:val="20"/>
          <w:szCs w:val="20"/>
        </w:rPr>
        <w:t xml:space="preserve">HARQ </w:t>
      </w:r>
      <w:r>
        <w:rPr>
          <w:sz w:val="20"/>
          <w:szCs w:val="20"/>
        </w:rPr>
        <w:t xml:space="preserve">operation in </w:t>
      </w:r>
      <w:r w:rsidRPr="006668F3">
        <w:rPr>
          <w:sz w:val="20"/>
          <w:szCs w:val="20"/>
        </w:rPr>
        <w:t>NR NTN is to address throughput stalling due to the large HARQ RTT.</w:t>
      </w:r>
      <w:bookmarkEnd w:id="4"/>
      <w:bookmarkEnd w:id="5"/>
    </w:p>
    <w:p w14:paraId="7BB49A82" w14:textId="77777777" w:rsidR="005338E7" w:rsidRDefault="005338E7" w:rsidP="005338E7">
      <w:pPr>
        <w:pStyle w:val="Observation"/>
        <w:numPr>
          <w:ilvl w:val="0"/>
          <w:numId w:val="0"/>
        </w:numPr>
        <w:rPr>
          <w:sz w:val="20"/>
          <w:szCs w:val="20"/>
        </w:rPr>
      </w:pPr>
    </w:p>
    <w:p w14:paraId="31A04F66" w14:textId="598B2187" w:rsidR="00596A99" w:rsidRPr="00596A99" w:rsidRDefault="005338E7" w:rsidP="00596A99">
      <w:pPr>
        <w:jc w:val="both"/>
        <w:rPr>
          <w:rFonts w:ascii="Arial" w:hAnsi="Arial" w:cs="Arial"/>
          <w:sz w:val="20"/>
          <w:szCs w:val="20"/>
        </w:rPr>
      </w:pPr>
      <w:r w:rsidRPr="00DA72B2">
        <w:rPr>
          <w:rFonts w:ascii="Arial" w:hAnsi="Arial" w:cs="Arial"/>
          <w:sz w:val="20"/>
          <w:szCs w:val="20"/>
        </w:rPr>
        <w:lastRenderedPageBreak/>
        <w:t>For mobile broadband and low latency applications, high throughput is a critical characteristic. Nonetheless, the IoT use cases are typically delay tolerant, requiring small and infrequent data transmissions. Therefore, the rationale considered for enhancing HARQ for NR NTN is not directly applicable to IoT NTN.</w:t>
      </w:r>
      <w:r w:rsidR="008231B2">
        <w:rPr>
          <w:rFonts w:ascii="Arial" w:hAnsi="Arial" w:cs="Arial"/>
          <w:sz w:val="20"/>
          <w:szCs w:val="20"/>
        </w:rPr>
        <w:t xml:space="preserve"> However, </w:t>
      </w:r>
      <w:r w:rsidR="00596A99">
        <w:rPr>
          <w:rFonts w:ascii="Arial" w:hAnsi="Arial" w:cs="Arial"/>
          <w:sz w:val="20"/>
          <w:szCs w:val="20"/>
        </w:rPr>
        <w:t xml:space="preserve">RAN WGs should study what sort of reduction is acceptable for link throughput in the context of IoT NTN especially considering the data rates required for the UE to support services such as voice. Note that RAN2 has agreed that whether number </w:t>
      </w:r>
      <w:r w:rsidR="00596A99" w:rsidRPr="00596A99">
        <w:rPr>
          <w:rFonts w:ascii="Arial" w:hAnsi="Arial" w:cs="Arial"/>
          <w:sz w:val="20"/>
          <w:szCs w:val="20"/>
        </w:rPr>
        <w:t xml:space="preserve">of HARQ processes </w:t>
      </w:r>
      <w:r w:rsidR="00596A99">
        <w:rPr>
          <w:rFonts w:ascii="Arial" w:hAnsi="Arial" w:cs="Arial"/>
          <w:sz w:val="20"/>
          <w:szCs w:val="20"/>
        </w:rPr>
        <w:t xml:space="preserve">should be increased </w:t>
      </w:r>
      <w:r w:rsidR="00596A99" w:rsidRPr="00596A99">
        <w:rPr>
          <w:rFonts w:ascii="Arial" w:hAnsi="Arial" w:cs="Arial"/>
          <w:sz w:val="20"/>
          <w:szCs w:val="20"/>
        </w:rPr>
        <w:t xml:space="preserve">is </w:t>
      </w:r>
      <w:r w:rsidR="00596A99">
        <w:rPr>
          <w:rFonts w:ascii="Arial" w:hAnsi="Arial" w:cs="Arial"/>
          <w:sz w:val="20"/>
          <w:szCs w:val="20"/>
        </w:rPr>
        <w:t xml:space="preserve">in </w:t>
      </w:r>
      <w:r w:rsidR="00596A99" w:rsidRPr="00596A99">
        <w:rPr>
          <w:rFonts w:ascii="Arial" w:hAnsi="Arial" w:cs="Arial"/>
          <w:sz w:val="20"/>
          <w:szCs w:val="20"/>
        </w:rPr>
        <w:t>RAN1</w:t>
      </w:r>
      <w:r w:rsidR="00596A99">
        <w:rPr>
          <w:rFonts w:ascii="Arial" w:hAnsi="Arial" w:cs="Arial"/>
          <w:sz w:val="20"/>
          <w:szCs w:val="20"/>
        </w:rPr>
        <w:t>’s</w:t>
      </w:r>
      <w:r w:rsidR="00596A99" w:rsidRPr="00596A99">
        <w:rPr>
          <w:rFonts w:ascii="Arial" w:hAnsi="Arial" w:cs="Arial"/>
          <w:sz w:val="20"/>
          <w:szCs w:val="20"/>
        </w:rPr>
        <w:t xml:space="preserve"> scope</w:t>
      </w:r>
      <w:r w:rsidR="00596A99">
        <w:rPr>
          <w:rFonts w:ascii="Arial" w:hAnsi="Arial" w:cs="Arial"/>
          <w:sz w:val="20"/>
          <w:szCs w:val="20"/>
        </w:rPr>
        <w:t xml:space="preserve">, whereas it is up to RAN2 to decide </w:t>
      </w:r>
      <w:r w:rsidR="008A6DB5">
        <w:rPr>
          <w:rFonts w:ascii="Arial" w:hAnsi="Arial" w:cs="Arial"/>
          <w:sz w:val="20"/>
          <w:szCs w:val="20"/>
        </w:rPr>
        <w:t>if</w:t>
      </w:r>
      <w:r w:rsidR="00596A99">
        <w:rPr>
          <w:rFonts w:ascii="Arial" w:hAnsi="Arial" w:cs="Arial"/>
          <w:sz w:val="20"/>
          <w:szCs w:val="20"/>
        </w:rPr>
        <w:t xml:space="preserve"> disabling HARQ feedback is supported.</w:t>
      </w:r>
    </w:p>
    <w:p w14:paraId="7374AA5B" w14:textId="77777777" w:rsidR="005338E7" w:rsidRDefault="005338E7" w:rsidP="005338E7">
      <w:pPr>
        <w:pStyle w:val="Observation"/>
        <w:numPr>
          <w:ilvl w:val="0"/>
          <w:numId w:val="0"/>
        </w:numPr>
      </w:pPr>
    </w:p>
    <w:p w14:paraId="5DB858AC" w14:textId="63FB01AD" w:rsidR="005338E7" w:rsidRPr="00987105" w:rsidRDefault="00792527" w:rsidP="005338E7">
      <w:pPr>
        <w:pStyle w:val="Proposal"/>
        <w:tabs>
          <w:tab w:val="clear" w:pos="1304"/>
        </w:tabs>
        <w:ind w:left="1701" w:hanging="1701"/>
        <w:rPr>
          <w:sz w:val="20"/>
          <w:szCs w:val="20"/>
        </w:rPr>
      </w:pPr>
      <w:bookmarkStart w:id="6" w:name="_Toc61566861"/>
      <w:bookmarkStart w:id="7" w:name="_Toc68246387"/>
      <w:r>
        <w:rPr>
          <w:sz w:val="20"/>
          <w:szCs w:val="20"/>
        </w:rPr>
        <w:t>The necessity of HARQ enhancements for IoT NTN should be studied considering the reduction in link throughput</w:t>
      </w:r>
      <w:r w:rsidR="005338E7" w:rsidRPr="00CC622D">
        <w:rPr>
          <w:sz w:val="20"/>
          <w:szCs w:val="20"/>
        </w:rPr>
        <w:t>.</w:t>
      </w:r>
      <w:bookmarkEnd w:id="6"/>
      <w:bookmarkEnd w:id="7"/>
    </w:p>
    <w:p w14:paraId="66E8D3BA" w14:textId="0D0F7146" w:rsidR="005B6B2C" w:rsidRDefault="005B6B2C" w:rsidP="00683C96">
      <w:pPr>
        <w:pStyle w:val="BodyText"/>
        <w:rPr>
          <w:sz w:val="20"/>
          <w:szCs w:val="20"/>
        </w:rPr>
      </w:pPr>
    </w:p>
    <w:p w14:paraId="7269755C" w14:textId="74F8294A" w:rsidR="00792527" w:rsidRPr="00F302CB" w:rsidRDefault="00792527" w:rsidP="00792527">
      <w:pPr>
        <w:pStyle w:val="Heading3"/>
      </w:pPr>
      <w:r>
        <w:t>3.1.</w:t>
      </w:r>
      <w:r w:rsidR="00DB5358">
        <w:t>2</w:t>
      </w:r>
      <w:r>
        <w:tab/>
        <w:t>Latency, power consumption</w:t>
      </w:r>
      <w:r w:rsidR="00637083">
        <w:t xml:space="preserve">, </w:t>
      </w:r>
      <w:r>
        <w:t xml:space="preserve">coverage </w:t>
      </w:r>
      <w:r w:rsidR="00637083">
        <w:t>and spectral efficiency</w:t>
      </w:r>
    </w:p>
    <w:p w14:paraId="60221973" w14:textId="2B1042E6" w:rsidR="00792527" w:rsidRDefault="00F64904" w:rsidP="00683C96">
      <w:pPr>
        <w:pStyle w:val="BodyText"/>
        <w:rPr>
          <w:sz w:val="20"/>
          <w:szCs w:val="20"/>
        </w:rPr>
      </w:pPr>
      <w:r w:rsidRPr="00F64904">
        <w:rPr>
          <w:sz w:val="20"/>
          <w:szCs w:val="20"/>
        </w:rPr>
        <w:t xml:space="preserve">Whether </w:t>
      </w:r>
      <w:r w:rsidR="000B316E">
        <w:rPr>
          <w:sz w:val="20"/>
          <w:szCs w:val="20"/>
        </w:rPr>
        <w:t xml:space="preserve">any </w:t>
      </w:r>
      <w:r w:rsidRPr="00F64904">
        <w:rPr>
          <w:sz w:val="20"/>
          <w:szCs w:val="20"/>
        </w:rPr>
        <w:t xml:space="preserve">enhancements would be needed or justified for latency depends on the evaluation results provided based on the assumptions which are under discussion in [Post113-e][055][IoT NTN] Performance Evaluation. </w:t>
      </w:r>
      <w:r w:rsidR="00A105CF">
        <w:rPr>
          <w:sz w:val="20"/>
          <w:szCs w:val="20"/>
        </w:rPr>
        <w:t>.</w:t>
      </w:r>
    </w:p>
    <w:p w14:paraId="57F969BF" w14:textId="77777777" w:rsidR="007B6246" w:rsidRPr="00987105" w:rsidRDefault="007B6246" w:rsidP="007B6246">
      <w:pPr>
        <w:pStyle w:val="BodyText"/>
        <w:rPr>
          <w:sz w:val="20"/>
          <w:szCs w:val="20"/>
        </w:rPr>
      </w:pPr>
    </w:p>
    <w:p w14:paraId="5ED8DCEA" w14:textId="7CDC356B" w:rsidR="007B6246" w:rsidRPr="007B6246" w:rsidRDefault="007B6246" w:rsidP="007B6246">
      <w:pPr>
        <w:pStyle w:val="Observation"/>
        <w:rPr>
          <w:sz w:val="20"/>
          <w:szCs w:val="20"/>
        </w:rPr>
      </w:pPr>
      <w:bookmarkStart w:id="8" w:name="_Toc68246370"/>
      <w:r>
        <w:rPr>
          <w:sz w:val="20"/>
          <w:szCs w:val="20"/>
        </w:rPr>
        <w:t xml:space="preserve">Whether any enhancements are </w:t>
      </w:r>
      <w:r w:rsidR="00D130FB">
        <w:rPr>
          <w:sz w:val="20"/>
          <w:szCs w:val="20"/>
        </w:rPr>
        <w:t xml:space="preserve">needed </w:t>
      </w:r>
      <w:r w:rsidR="000B316E">
        <w:rPr>
          <w:sz w:val="20"/>
          <w:szCs w:val="20"/>
        </w:rPr>
        <w:t xml:space="preserve">or justified </w:t>
      </w:r>
      <w:r>
        <w:rPr>
          <w:sz w:val="20"/>
          <w:szCs w:val="20"/>
        </w:rPr>
        <w:t xml:space="preserve">for latency depends on the evaluation results provided based on the assumptions which are under discussion in </w:t>
      </w:r>
      <w:r w:rsidRPr="00A105CF">
        <w:rPr>
          <w:sz w:val="20"/>
          <w:szCs w:val="20"/>
        </w:rPr>
        <w:t>[Post113-e][055][IoT NTN] Performance Evaluation</w:t>
      </w:r>
      <w:r w:rsidRPr="006668F3">
        <w:rPr>
          <w:sz w:val="20"/>
          <w:szCs w:val="20"/>
        </w:rPr>
        <w:t>.</w:t>
      </w:r>
      <w:bookmarkEnd w:id="8"/>
    </w:p>
    <w:p w14:paraId="07D02A74" w14:textId="77777777" w:rsidR="007B6246" w:rsidRDefault="007B6246" w:rsidP="007B6246">
      <w:pPr>
        <w:pStyle w:val="Observation"/>
        <w:numPr>
          <w:ilvl w:val="0"/>
          <w:numId w:val="0"/>
        </w:numPr>
      </w:pPr>
    </w:p>
    <w:p w14:paraId="409FE203" w14:textId="346CD9B2" w:rsidR="007B6246" w:rsidRPr="00987105" w:rsidRDefault="002F55A8" w:rsidP="007B6246">
      <w:pPr>
        <w:pStyle w:val="Proposal"/>
        <w:tabs>
          <w:tab w:val="clear" w:pos="1304"/>
        </w:tabs>
        <w:ind w:left="1701" w:hanging="1701"/>
        <w:rPr>
          <w:sz w:val="20"/>
          <w:szCs w:val="20"/>
        </w:rPr>
      </w:pPr>
      <w:bookmarkStart w:id="9" w:name="_Toc68246388"/>
      <w:r>
        <w:rPr>
          <w:sz w:val="20"/>
          <w:szCs w:val="20"/>
        </w:rPr>
        <w:t>RAN2 to conclude performance evaluations before considering whether latency is an essential functionality in IoT NTN and discuss the need for enhancements</w:t>
      </w:r>
      <w:r w:rsidR="007B6246" w:rsidRPr="00CC622D">
        <w:rPr>
          <w:sz w:val="20"/>
          <w:szCs w:val="20"/>
        </w:rPr>
        <w:t>.</w:t>
      </w:r>
      <w:bookmarkEnd w:id="9"/>
    </w:p>
    <w:p w14:paraId="50AE613C" w14:textId="77777777" w:rsidR="007B6246" w:rsidRDefault="007B6246" w:rsidP="007B6246">
      <w:pPr>
        <w:pStyle w:val="BodyText"/>
        <w:rPr>
          <w:sz w:val="20"/>
          <w:szCs w:val="20"/>
        </w:rPr>
      </w:pPr>
    </w:p>
    <w:p w14:paraId="02534410" w14:textId="001DD960" w:rsidR="00DB5358" w:rsidRPr="00DB5358" w:rsidRDefault="00DB5358" w:rsidP="002F55A8">
      <w:pPr>
        <w:pStyle w:val="BodyText"/>
        <w:rPr>
          <w:sz w:val="20"/>
          <w:szCs w:val="20"/>
        </w:rPr>
      </w:pPr>
      <w:r w:rsidRPr="00DB5358">
        <w:rPr>
          <w:sz w:val="20"/>
          <w:szCs w:val="20"/>
        </w:rPr>
        <w:t>In RAN1#104-e, the following agreement were made:</w:t>
      </w:r>
      <w:r w:rsidR="002F55A8">
        <w:rPr>
          <w:sz w:val="20"/>
          <w:szCs w:val="20"/>
        </w:rPr>
        <w:t xml:space="preserve"> “</w:t>
      </w:r>
      <w:r w:rsidRPr="00DB5358">
        <w:rPr>
          <w:sz w:val="20"/>
          <w:szCs w:val="20"/>
        </w:rPr>
        <w:t>Study potential impact of GNSS Position fix on UE power consumption using battery life methodology in Rel-13 TR 45.820 (Section 5.4)</w:t>
      </w:r>
      <w:r w:rsidR="002F55A8">
        <w:rPr>
          <w:sz w:val="20"/>
          <w:szCs w:val="20"/>
        </w:rPr>
        <w:t xml:space="preserve">”. RAN1 also agreed to study the </w:t>
      </w:r>
      <w:r w:rsidRPr="00DB5358">
        <w:rPr>
          <w:sz w:val="20"/>
          <w:szCs w:val="20"/>
        </w:rPr>
        <w:t>potential impact of NTN SIB carrying the satellite ephemeris on UE power consumption</w:t>
      </w:r>
      <w:r w:rsidR="002F55A8">
        <w:rPr>
          <w:sz w:val="20"/>
          <w:szCs w:val="20"/>
        </w:rPr>
        <w:t xml:space="preserve">. </w:t>
      </w:r>
      <w:r w:rsidR="00DE3ED6">
        <w:rPr>
          <w:sz w:val="20"/>
          <w:szCs w:val="20"/>
        </w:rPr>
        <w:t xml:space="preserve">To what extent </w:t>
      </w:r>
      <w:r w:rsidR="00954968">
        <w:rPr>
          <w:sz w:val="20"/>
          <w:szCs w:val="20"/>
        </w:rPr>
        <w:t xml:space="preserve">any </w:t>
      </w:r>
      <w:r w:rsidR="002F55A8">
        <w:rPr>
          <w:sz w:val="20"/>
          <w:szCs w:val="20"/>
        </w:rPr>
        <w:t>requirement</w:t>
      </w:r>
      <w:r w:rsidR="00954968">
        <w:rPr>
          <w:sz w:val="20"/>
          <w:szCs w:val="20"/>
        </w:rPr>
        <w:t>s determined</w:t>
      </w:r>
      <w:r w:rsidR="002F55A8">
        <w:rPr>
          <w:sz w:val="20"/>
          <w:szCs w:val="20"/>
        </w:rPr>
        <w:t xml:space="preserve"> </w:t>
      </w:r>
      <w:r w:rsidR="005C4E07">
        <w:rPr>
          <w:sz w:val="20"/>
          <w:szCs w:val="20"/>
        </w:rPr>
        <w:t xml:space="preserve">can </w:t>
      </w:r>
      <w:r w:rsidR="002F55A8">
        <w:rPr>
          <w:sz w:val="20"/>
          <w:szCs w:val="20"/>
        </w:rPr>
        <w:t>be fulfilled in IoT NTN, and whether</w:t>
      </w:r>
      <w:r w:rsidR="00C54F64">
        <w:rPr>
          <w:sz w:val="20"/>
          <w:szCs w:val="20"/>
        </w:rPr>
        <w:t>/what</w:t>
      </w:r>
      <w:r w:rsidR="002F55A8">
        <w:rPr>
          <w:sz w:val="20"/>
          <w:szCs w:val="20"/>
        </w:rPr>
        <w:t xml:space="preserve"> enhancements </w:t>
      </w:r>
      <w:r w:rsidR="005859D3">
        <w:rPr>
          <w:sz w:val="20"/>
          <w:szCs w:val="20"/>
        </w:rPr>
        <w:t>would be needed and justified</w:t>
      </w:r>
      <w:r w:rsidR="002F55A8">
        <w:rPr>
          <w:sz w:val="20"/>
          <w:szCs w:val="20"/>
        </w:rPr>
        <w:t xml:space="preserve"> depends on the evaluation results from the studies mentioned above.</w:t>
      </w:r>
    </w:p>
    <w:p w14:paraId="4CDB99DE" w14:textId="77777777" w:rsidR="00637083" w:rsidRPr="00987105" w:rsidRDefault="00637083" w:rsidP="00637083">
      <w:pPr>
        <w:pStyle w:val="BodyText"/>
        <w:rPr>
          <w:sz w:val="20"/>
          <w:szCs w:val="20"/>
        </w:rPr>
      </w:pPr>
    </w:p>
    <w:p w14:paraId="1FAAB969" w14:textId="75C92174" w:rsidR="00637083" w:rsidRPr="007B6246" w:rsidRDefault="00637083" w:rsidP="00637083">
      <w:pPr>
        <w:pStyle w:val="Observation"/>
        <w:rPr>
          <w:sz w:val="20"/>
          <w:szCs w:val="20"/>
        </w:rPr>
      </w:pPr>
      <w:bookmarkStart w:id="10" w:name="_Toc68246371"/>
      <w:r>
        <w:rPr>
          <w:sz w:val="20"/>
          <w:szCs w:val="20"/>
        </w:rPr>
        <w:t xml:space="preserve">Whether any enhancements are </w:t>
      </w:r>
      <w:r w:rsidR="00D130FB">
        <w:rPr>
          <w:sz w:val="20"/>
          <w:szCs w:val="20"/>
        </w:rPr>
        <w:t xml:space="preserve">needed </w:t>
      </w:r>
      <w:r>
        <w:rPr>
          <w:sz w:val="20"/>
          <w:szCs w:val="20"/>
        </w:rPr>
        <w:t>for UE power consumption depends on the evaluation results from studies in RAN1</w:t>
      </w:r>
      <w:r w:rsidRPr="006668F3">
        <w:rPr>
          <w:sz w:val="20"/>
          <w:szCs w:val="20"/>
        </w:rPr>
        <w:t>.</w:t>
      </w:r>
      <w:bookmarkEnd w:id="10"/>
    </w:p>
    <w:p w14:paraId="7397A9DD" w14:textId="77777777" w:rsidR="00637083" w:rsidRDefault="00637083" w:rsidP="00637083">
      <w:pPr>
        <w:pStyle w:val="Observation"/>
        <w:numPr>
          <w:ilvl w:val="0"/>
          <w:numId w:val="0"/>
        </w:numPr>
      </w:pPr>
    </w:p>
    <w:p w14:paraId="1C5C7062" w14:textId="739D4341" w:rsidR="00637083" w:rsidRPr="00987105" w:rsidRDefault="00637083" w:rsidP="00637083">
      <w:pPr>
        <w:pStyle w:val="Proposal"/>
        <w:tabs>
          <w:tab w:val="clear" w:pos="1304"/>
        </w:tabs>
        <w:ind w:left="1701" w:hanging="1701"/>
        <w:rPr>
          <w:sz w:val="20"/>
          <w:szCs w:val="20"/>
        </w:rPr>
      </w:pPr>
      <w:bookmarkStart w:id="11" w:name="_Toc68246389"/>
      <w:r>
        <w:rPr>
          <w:sz w:val="20"/>
          <w:szCs w:val="20"/>
        </w:rPr>
        <w:t>RAN2 to wait until RAN1 studies on UE power consumption in IoT NTN conclude before considering whether UE power consumption is an essential functionality in IoT NTN and discuss the need for enhancements</w:t>
      </w:r>
      <w:r w:rsidRPr="00CC622D">
        <w:rPr>
          <w:sz w:val="20"/>
          <w:szCs w:val="20"/>
        </w:rPr>
        <w:t>.</w:t>
      </w:r>
      <w:bookmarkEnd w:id="11"/>
    </w:p>
    <w:p w14:paraId="21502510" w14:textId="77777777" w:rsidR="00637083" w:rsidRDefault="00637083" w:rsidP="00637083">
      <w:pPr>
        <w:pStyle w:val="BodyText"/>
        <w:rPr>
          <w:sz w:val="20"/>
          <w:szCs w:val="20"/>
        </w:rPr>
      </w:pPr>
    </w:p>
    <w:p w14:paraId="7FD33B7F" w14:textId="1EEE4530" w:rsidR="00DB5358" w:rsidRDefault="00637083" w:rsidP="00DB5358">
      <w:pPr>
        <w:pStyle w:val="BodyText"/>
        <w:rPr>
          <w:sz w:val="20"/>
          <w:szCs w:val="20"/>
        </w:rPr>
      </w:pPr>
      <w:r>
        <w:rPr>
          <w:sz w:val="20"/>
          <w:szCs w:val="20"/>
        </w:rPr>
        <w:t xml:space="preserve">Similar arguments apply to </w:t>
      </w:r>
      <w:r w:rsidR="00531C32">
        <w:rPr>
          <w:sz w:val="20"/>
          <w:szCs w:val="20"/>
        </w:rPr>
        <w:t>coverage and spectral efficiency functionalities although it is more likely that those can be considered as non-essential regarding the need for enhancements in Rel-17.</w:t>
      </w:r>
    </w:p>
    <w:p w14:paraId="6F4387D9" w14:textId="51E15CB7" w:rsidR="00DB5358" w:rsidRDefault="00DB5358" w:rsidP="00DB5358">
      <w:pPr>
        <w:pStyle w:val="BodyText"/>
        <w:rPr>
          <w:sz w:val="20"/>
          <w:szCs w:val="20"/>
        </w:rPr>
      </w:pPr>
    </w:p>
    <w:p w14:paraId="78BE6F9B" w14:textId="35222CD4" w:rsidR="00792527" w:rsidRPr="00F302CB" w:rsidRDefault="00792527" w:rsidP="00792527">
      <w:pPr>
        <w:pStyle w:val="Heading3"/>
      </w:pPr>
      <w:r>
        <w:t>3.1.</w:t>
      </w:r>
      <w:r w:rsidR="00DB5358">
        <w:t>3</w:t>
      </w:r>
      <w:r>
        <w:tab/>
        <w:t xml:space="preserve">Mobility </w:t>
      </w:r>
    </w:p>
    <w:p w14:paraId="3CE8E45C" w14:textId="70F2ABF3" w:rsidR="00792527" w:rsidRDefault="00CA3E28" w:rsidP="00792527">
      <w:pPr>
        <w:pStyle w:val="BodyText"/>
        <w:rPr>
          <w:sz w:val="20"/>
          <w:szCs w:val="20"/>
        </w:rPr>
      </w:pPr>
      <w:r w:rsidRPr="00CA3E28">
        <w:rPr>
          <w:sz w:val="20"/>
          <w:szCs w:val="20"/>
        </w:rPr>
        <w:t>For idle mode mobility, cell selection/re-selection mechanisms of NB-IoT and LTE-M are used as baseline. Connected mode mobility is only supported for LTE-M and in addition to the legacy handover mechanism potential enhancements are to be considered also for conditional handover for both moving cell and fixed cell scenarios. For NB-IoT, legacy radio link failure (RLF) mechanism is assumed to be the baseline in the study.</w:t>
      </w:r>
    </w:p>
    <w:p w14:paraId="28BB800A" w14:textId="6015A8A7" w:rsidR="00CA3E28" w:rsidRDefault="00CA3E28" w:rsidP="00792527">
      <w:pPr>
        <w:pStyle w:val="BodyText"/>
        <w:rPr>
          <w:sz w:val="20"/>
          <w:szCs w:val="20"/>
        </w:rPr>
      </w:pPr>
      <w:r>
        <w:rPr>
          <w:sz w:val="20"/>
          <w:szCs w:val="20"/>
        </w:rPr>
        <w:lastRenderedPageBreak/>
        <w:t xml:space="preserve">New mobility mechanisms </w:t>
      </w:r>
      <w:r w:rsidR="00737E76">
        <w:rPr>
          <w:sz w:val="20"/>
          <w:szCs w:val="20"/>
        </w:rPr>
        <w:t xml:space="preserve">that can improve the performance in IoT NTN may not be studied in Rel-17, however RAN2 should make sure that existing mechanism </w:t>
      </w:r>
      <w:r w:rsidR="00062A26" w:rsidRPr="00062A26">
        <w:rPr>
          <w:sz w:val="20"/>
          <w:szCs w:val="20"/>
        </w:rPr>
        <w:t xml:space="preserve">does not </w:t>
      </w:r>
      <w:r w:rsidR="00062A26">
        <w:rPr>
          <w:sz w:val="20"/>
          <w:szCs w:val="20"/>
        </w:rPr>
        <w:t xml:space="preserve">suffer </w:t>
      </w:r>
      <w:r w:rsidR="00062A26" w:rsidRPr="00062A26">
        <w:rPr>
          <w:sz w:val="20"/>
          <w:szCs w:val="20"/>
        </w:rPr>
        <w:t>unnecessarily in performance</w:t>
      </w:r>
      <w:r w:rsidR="00737E76">
        <w:rPr>
          <w:sz w:val="20"/>
          <w:szCs w:val="20"/>
        </w:rPr>
        <w:t xml:space="preserve">. Therefore, minor adjustments to existing </w:t>
      </w:r>
      <w:r w:rsidR="003C52AA">
        <w:rPr>
          <w:sz w:val="20"/>
          <w:szCs w:val="20"/>
        </w:rPr>
        <w:t xml:space="preserve">mobility </w:t>
      </w:r>
      <w:r w:rsidR="00737E76">
        <w:rPr>
          <w:sz w:val="20"/>
          <w:szCs w:val="20"/>
        </w:rPr>
        <w:t xml:space="preserve">mechanisms, such as </w:t>
      </w:r>
      <w:r w:rsidR="00737E76" w:rsidRPr="00A0363F">
        <w:rPr>
          <w:sz w:val="20"/>
          <w:szCs w:val="20"/>
        </w:rPr>
        <w:t>a new parameter, parameter values, timers, timing etc. should still be considered essential to adapt functionality to NTN</w:t>
      </w:r>
      <w:r w:rsidR="00737E76">
        <w:rPr>
          <w:sz w:val="20"/>
          <w:szCs w:val="20"/>
        </w:rPr>
        <w:t>.</w:t>
      </w:r>
    </w:p>
    <w:p w14:paraId="7D52C41E" w14:textId="77777777" w:rsidR="003C52AA" w:rsidRDefault="003C52AA" w:rsidP="00792527">
      <w:pPr>
        <w:pStyle w:val="BodyText"/>
        <w:rPr>
          <w:sz w:val="20"/>
          <w:szCs w:val="20"/>
        </w:rPr>
      </w:pPr>
    </w:p>
    <w:p w14:paraId="55AEF27C" w14:textId="7CD7A5E9" w:rsidR="00A00890" w:rsidRDefault="003C52AA" w:rsidP="00A00890">
      <w:pPr>
        <w:pStyle w:val="Proposal"/>
        <w:tabs>
          <w:tab w:val="clear" w:pos="1304"/>
        </w:tabs>
        <w:ind w:left="1701" w:hanging="1701"/>
        <w:rPr>
          <w:sz w:val="20"/>
          <w:szCs w:val="20"/>
        </w:rPr>
      </w:pPr>
      <w:bookmarkStart w:id="12" w:name="_Toc68246390"/>
      <w:r>
        <w:rPr>
          <w:sz w:val="20"/>
          <w:szCs w:val="20"/>
        </w:rPr>
        <w:t>Existing mobility mechanisms are considered essential functionality for LTE-M and NB-IoT in IoT NTN</w:t>
      </w:r>
      <w:r w:rsidR="00A00890" w:rsidRPr="00CC622D">
        <w:rPr>
          <w:sz w:val="20"/>
          <w:szCs w:val="20"/>
        </w:rPr>
        <w:t>.</w:t>
      </w:r>
      <w:bookmarkEnd w:id="12"/>
    </w:p>
    <w:p w14:paraId="6F4A508E" w14:textId="77777777" w:rsidR="003C52AA" w:rsidRDefault="003C52AA" w:rsidP="003C52AA">
      <w:pPr>
        <w:pStyle w:val="Proposal"/>
        <w:numPr>
          <w:ilvl w:val="0"/>
          <w:numId w:val="0"/>
        </w:numPr>
        <w:rPr>
          <w:sz w:val="20"/>
          <w:szCs w:val="20"/>
        </w:rPr>
      </w:pPr>
    </w:p>
    <w:p w14:paraId="7B0A13E0" w14:textId="6B3AB323" w:rsidR="003C52AA" w:rsidRDefault="003C52AA" w:rsidP="00A00890">
      <w:pPr>
        <w:pStyle w:val="Proposal"/>
        <w:tabs>
          <w:tab w:val="clear" w:pos="1304"/>
        </w:tabs>
        <w:ind w:left="1701" w:hanging="1701"/>
        <w:rPr>
          <w:sz w:val="20"/>
          <w:szCs w:val="20"/>
        </w:rPr>
      </w:pPr>
      <w:bookmarkStart w:id="13" w:name="_Toc68246391"/>
      <w:r>
        <w:rPr>
          <w:sz w:val="20"/>
          <w:szCs w:val="20"/>
        </w:rPr>
        <w:t xml:space="preserve">Minor adjustments to existing mobility mechanisms, such as </w:t>
      </w:r>
      <w:r w:rsidRPr="00A0363F">
        <w:rPr>
          <w:sz w:val="20"/>
          <w:szCs w:val="20"/>
        </w:rPr>
        <w:t xml:space="preserve">a new parameter, parameter values, timers, timing etc. </w:t>
      </w:r>
      <w:r>
        <w:rPr>
          <w:sz w:val="20"/>
          <w:szCs w:val="20"/>
        </w:rPr>
        <w:t xml:space="preserve">are </w:t>
      </w:r>
      <w:r w:rsidRPr="00A0363F">
        <w:rPr>
          <w:sz w:val="20"/>
          <w:szCs w:val="20"/>
        </w:rPr>
        <w:t xml:space="preserve">considered essential </w:t>
      </w:r>
      <w:r>
        <w:rPr>
          <w:sz w:val="20"/>
          <w:szCs w:val="20"/>
        </w:rPr>
        <w:t xml:space="preserve">enhancements </w:t>
      </w:r>
      <w:r w:rsidRPr="00A0363F">
        <w:rPr>
          <w:sz w:val="20"/>
          <w:szCs w:val="20"/>
        </w:rPr>
        <w:t>to adapt functionality to NTN</w:t>
      </w:r>
      <w:r>
        <w:rPr>
          <w:sz w:val="20"/>
          <w:szCs w:val="20"/>
        </w:rPr>
        <w:t>.</w:t>
      </w:r>
      <w:bookmarkEnd w:id="13"/>
    </w:p>
    <w:p w14:paraId="36B0033F" w14:textId="77777777" w:rsidR="003C52AA" w:rsidRDefault="003C52AA" w:rsidP="003C52AA">
      <w:pPr>
        <w:pStyle w:val="ListParagraph"/>
        <w:rPr>
          <w:sz w:val="20"/>
          <w:szCs w:val="20"/>
        </w:rPr>
      </w:pPr>
    </w:p>
    <w:p w14:paraId="45F72E17" w14:textId="4997BA28" w:rsidR="003C52AA" w:rsidRPr="00987105" w:rsidRDefault="003C52AA" w:rsidP="00A00890">
      <w:pPr>
        <w:pStyle w:val="Proposal"/>
        <w:tabs>
          <w:tab w:val="clear" w:pos="1304"/>
        </w:tabs>
        <w:ind w:left="1701" w:hanging="1701"/>
        <w:rPr>
          <w:sz w:val="20"/>
          <w:szCs w:val="20"/>
        </w:rPr>
      </w:pPr>
      <w:bookmarkStart w:id="14" w:name="_Toc68246392"/>
      <w:r>
        <w:rPr>
          <w:sz w:val="20"/>
          <w:szCs w:val="20"/>
        </w:rPr>
        <w:t>No new mobility mechanisms or major enhancements to exi</w:t>
      </w:r>
      <w:r w:rsidR="00441CAD">
        <w:rPr>
          <w:sz w:val="20"/>
          <w:szCs w:val="20"/>
        </w:rPr>
        <w:t>s</w:t>
      </w:r>
      <w:r>
        <w:rPr>
          <w:sz w:val="20"/>
          <w:szCs w:val="20"/>
        </w:rPr>
        <w:t>ting mechanisms are introduced in Rel-17 for IoT NTN.</w:t>
      </w:r>
      <w:bookmarkEnd w:id="14"/>
    </w:p>
    <w:p w14:paraId="5206AD61" w14:textId="43D5B7B8" w:rsidR="00A0363F" w:rsidRPr="00A0363F" w:rsidRDefault="00A0363F" w:rsidP="00683C96">
      <w:pPr>
        <w:pStyle w:val="BodyText"/>
        <w:rPr>
          <w:sz w:val="20"/>
          <w:szCs w:val="20"/>
        </w:rPr>
      </w:pPr>
    </w:p>
    <w:bookmarkEnd w:id="0"/>
    <w:p w14:paraId="1F1AC69A" w14:textId="5233A113" w:rsidR="00987105" w:rsidRPr="00CE0424" w:rsidRDefault="00987105" w:rsidP="00987105">
      <w:pPr>
        <w:pStyle w:val="Heading1"/>
      </w:pPr>
      <w:r>
        <w:t>4</w:t>
      </w:r>
      <w:r>
        <w:tab/>
        <w:t>Conclusion</w:t>
      </w:r>
    </w:p>
    <w:p w14:paraId="3C0C63AB" w14:textId="0637413D" w:rsidR="008E065E" w:rsidRDefault="00D61F85" w:rsidP="00987105">
      <w:pPr>
        <w:pStyle w:val="BodyText"/>
        <w:rPr>
          <w:b/>
          <w:bCs/>
          <w:sz w:val="20"/>
          <w:szCs w:val="20"/>
        </w:rPr>
      </w:pPr>
      <w:r w:rsidRPr="00987105">
        <w:rPr>
          <w:sz w:val="20"/>
          <w:szCs w:val="20"/>
        </w:rPr>
        <w:t xml:space="preserve">In this contribution we </w:t>
      </w:r>
      <w:r>
        <w:rPr>
          <w:sz w:val="20"/>
          <w:szCs w:val="20"/>
        </w:rPr>
        <w:t xml:space="preserve">have discussed </w:t>
      </w:r>
      <w:r w:rsidR="003C52AA" w:rsidRPr="00987105">
        <w:rPr>
          <w:sz w:val="20"/>
          <w:szCs w:val="20"/>
        </w:rPr>
        <w:t xml:space="preserve">the </w:t>
      </w:r>
      <w:r w:rsidR="003C52AA">
        <w:rPr>
          <w:sz w:val="20"/>
          <w:szCs w:val="20"/>
        </w:rPr>
        <w:t>outcome from the email discussion and the essential functionality to be considered in IoT NTN in Rel-17</w:t>
      </w:r>
      <w:r w:rsidRPr="00987105">
        <w:rPr>
          <w:sz w:val="20"/>
          <w:szCs w:val="20"/>
        </w:rPr>
        <w:t>.</w:t>
      </w:r>
      <w:r>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observations:</w:t>
      </w:r>
      <w:r w:rsidR="00C93814" w:rsidRPr="00987105">
        <w:rPr>
          <w:b/>
          <w:bCs/>
          <w:sz w:val="20"/>
          <w:szCs w:val="20"/>
        </w:rPr>
        <w:t xml:space="preserve"> </w:t>
      </w:r>
    </w:p>
    <w:p w14:paraId="10CE87BF" w14:textId="77777777" w:rsidR="003C52AA" w:rsidRPr="00987105" w:rsidRDefault="003C52AA" w:rsidP="00062A26">
      <w:pPr>
        <w:pStyle w:val="BodyText"/>
        <w:rPr>
          <w:b/>
          <w:bCs/>
          <w:sz w:val="20"/>
          <w:szCs w:val="20"/>
        </w:rPr>
      </w:pPr>
    </w:p>
    <w:p w14:paraId="4F42422A" w14:textId="77777777" w:rsidR="00062A26" w:rsidRPr="00062A26" w:rsidRDefault="006F6582" w:rsidP="00062A26">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68246368" w:history="1">
        <w:r w:rsidR="00062A26" w:rsidRPr="00062A26">
          <w:rPr>
            <w:rStyle w:val="Hyperlink"/>
            <w:noProof/>
            <w:sz w:val="20"/>
            <w:szCs w:val="20"/>
          </w:rPr>
          <w:t>Observation 1</w:t>
        </w:r>
        <w:r w:rsidR="00062A26" w:rsidRPr="00062A26">
          <w:rPr>
            <w:rFonts w:asciiTheme="minorHAnsi" w:eastAsiaTheme="minorEastAsia" w:hAnsiTheme="minorHAnsi"/>
            <w:b w:val="0"/>
            <w:noProof/>
            <w:sz w:val="20"/>
            <w:szCs w:val="20"/>
            <w:lang w:eastAsia="en-GB"/>
          </w:rPr>
          <w:tab/>
        </w:r>
        <w:r w:rsidR="00062A26" w:rsidRPr="00062A26">
          <w:rPr>
            <w:rStyle w:val="Hyperlink"/>
            <w:noProof/>
            <w:sz w:val="20"/>
            <w:szCs w:val="20"/>
          </w:rPr>
          <w:t xml:space="preserve">It is not clear whether use cases other than </w:t>
        </w:r>
        <w:r w:rsidR="00062A26" w:rsidRPr="00062A26">
          <w:rPr>
            <w:rStyle w:val="Hyperlink"/>
            <w:rFonts w:eastAsia="SimSun" w:cs="Arial"/>
            <w:noProof/>
            <w:sz w:val="20"/>
            <w:szCs w:val="20"/>
          </w:rPr>
          <w:t>intermittent delay-tolerant small packet transmissions require significant effort</w:t>
        </w:r>
        <w:r w:rsidR="00062A26" w:rsidRPr="00062A26">
          <w:rPr>
            <w:rStyle w:val="Hyperlink"/>
            <w:noProof/>
            <w:sz w:val="20"/>
            <w:szCs w:val="20"/>
          </w:rPr>
          <w:t>.</w:t>
        </w:r>
      </w:hyperlink>
    </w:p>
    <w:p w14:paraId="3BF1149C"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69" w:history="1">
        <w:r w:rsidRPr="00062A26">
          <w:rPr>
            <w:rStyle w:val="Hyperlink"/>
            <w:noProof/>
            <w:sz w:val="20"/>
            <w:szCs w:val="20"/>
          </w:rPr>
          <w:t>Observation 2</w:t>
        </w:r>
        <w:r w:rsidRPr="00062A26">
          <w:rPr>
            <w:rFonts w:asciiTheme="minorHAnsi" w:eastAsiaTheme="minorEastAsia" w:hAnsiTheme="minorHAnsi"/>
            <w:b w:val="0"/>
            <w:noProof/>
            <w:sz w:val="20"/>
            <w:szCs w:val="20"/>
            <w:lang w:eastAsia="en-GB"/>
          </w:rPr>
          <w:tab/>
        </w:r>
        <w:r w:rsidRPr="00062A26">
          <w:rPr>
            <w:rStyle w:val="Hyperlink"/>
            <w:noProof/>
            <w:sz w:val="20"/>
            <w:szCs w:val="20"/>
          </w:rPr>
          <w:t>The main motivation for introducing enhancements for HARQ operation in NR NTN is to address throughput stalling due to the large HARQ RTT.</w:t>
        </w:r>
      </w:hyperlink>
    </w:p>
    <w:p w14:paraId="2AB065DC"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70" w:history="1">
        <w:r w:rsidRPr="00062A26">
          <w:rPr>
            <w:rStyle w:val="Hyperlink"/>
            <w:noProof/>
            <w:sz w:val="20"/>
            <w:szCs w:val="20"/>
          </w:rPr>
          <w:t>Observation 3</w:t>
        </w:r>
        <w:r w:rsidRPr="00062A26">
          <w:rPr>
            <w:rFonts w:asciiTheme="minorHAnsi" w:eastAsiaTheme="minorEastAsia" w:hAnsiTheme="minorHAnsi"/>
            <w:b w:val="0"/>
            <w:noProof/>
            <w:sz w:val="20"/>
            <w:szCs w:val="20"/>
            <w:lang w:eastAsia="en-GB"/>
          </w:rPr>
          <w:tab/>
        </w:r>
        <w:r w:rsidRPr="00062A26">
          <w:rPr>
            <w:rStyle w:val="Hyperlink"/>
            <w:noProof/>
            <w:sz w:val="20"/>
            <w:szCs w:val="20"/>
          </w:rPr>
          <w:t>Whether any enhancements are needed or justified for latency depends on the evaluation results provided based on the assumptions which are under discussion in [Post113-e][055][IoT NTN] Performance Evaluation.</w:t>
        </w:r>
      </w:hyperlink>
    </w:p>
    <w:p w14:paraId="4C4083CF" w14:textId="77777777" w:rsidR="00062A26" w:rsidRDefault="00062A26" w:rsidP="00062A26">
      <w:pPr>
        <w:pStyle w:val="TableofFigures"/>
        <w:tabs>
          <w:tab w:val="right" w:leader="dot" w:pos="9629"/>
        </w:tabs>
        <w:jc w:val="both"/>
        <w:rPr>
          <w:rFonts w:asciiTheme="minorHAnsi" w:eastAsiaTheme="minorEastAsia" w:hAnsiTheme="minorHAnsi"/>
          <w:b w:val="0"/>
          <w:noProof/>
          <w:lang w:eastAsia="en-GB"/>
        </w:rPr>
      </w:pPr>
      <w:hyperlink w:anchor="_Toc68246371" w:history="1">
        <w:r w:rsidRPr="00062A26">
          <w:rPr>
            <w:rStyle w:val="Hyperlink"/>
            <w:noProof/>
            <w:sz w:val="20"/>
            <w:szCs w:val="20"/>
          </w:rPr>
          <w:t>Observation 4</w:t>
        </w:r>
        <w:r w:rsidRPr="00062A26">
          <w:rPr>
            <w:rFonts w:asciiTheme="minorHAnsi" w:eastAsiaTheme="minorEastAsia" w:hAnsiTheme="minorHAnsi"/>
            <w:b w:val="0"/>
            <w:noProof/>
            <w:sz w:val="20"/>
            <w:szCs w:val="20"/>
            <w:lang w:eastAsia="en-GB"/>
          </w:rPr>
          <w:tab/>
        </w:r>
        <w:r w:rsidRPr="00062A26">
          <w:rPr>
            <w:rStyle w:val="Hyperlink"/>
            <w:noProof/>
            <w:sz w:val="20"/>
            <w:szCs w:val="20"/>
          </w:rPr>
          <w:t>Whether any enhancements are needed for UE power consumption depends on the evaluation results from studies in RAN1.</w:t>
        </w:r>
      </w:hyperlink>
    </w:p>
    <w:p w14:paraId="775CB46E" w14:textId="620D82B3" w:rsidR="006E1C82" w:rsidRPr="00987105" w:rsidRDefault="006F6582" w:rsidP="00062A26">
      <w:pPr>
        <w:pStyle w:val="BodyText"/>
        <w:rPr>
          <w:b/>
          <w:bCs/>
          <w:sz w:val="20"/>
          <w:szCs w:val="20"/>
        </w:rPr>
      </w:pPr>
      <w:r w:rsidRPr="00987105">
        <w:rPr>
          <w:b/>
          <w:bCs/>
          <w:sz w:val="20"/>
          <w:szCs w:val="20"/>
        </w:rPr>
        <w:fldChar w:fldCharType="end"/>
      </w:r>
    </w:p>
    <w:p w14:paraId="3A82D5E6" w14:textId="77777777" w:rsidR="006E1C82" w:rsidRPr="00987105" w:rsidRDefault="008E065E" w:rsidP="00062A26">
      <w:pPr>
        <w:pStyle w:val="BodyText"/>
        <w:rPr>
          <w:sz w:val="20"/>
          <w:szCs w:val="20"/>
        </w:rPr>
      </w:pPr>
      <w:r w:rsidRPr="00987105">
        <w:rPr>
          <w:sz w:val="20"/>
          <w:szCs w:val="20"/>
        </w:rPr>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1E04DBE4" w14:textId="77777777" w:rsidR="00062A26" w:rsidRPr="00062A26" w:rsidRDefault="006E1C82" w:rsidP="00062A26">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68246386" w:history="1">
        <w:r w:rsidR="00062A26" w:rsidRPr="00062A26">
          <w:rPr>
            <w:rStyle w:val="Hyperlink"/>
            <w:noProof/>
            <w:sz w:val="20"/>
            <w:szCs w:val="20"/>
          </w:rPr>
          <w:t>Proposal 1</w:t>
        </w:r>
        <w:r w:rsidR="00062A26" w:rsidRPr="00062A26">
          <w:rPr>
            <w:rFonts w:asciiTheme="minorHAnsi" w:eastAsiaTheme="minorEastAsia" w:hAnsiTheme="minorHAnsi"/>
            <w:b w:val="0"/>
            <w:noProof/>
            <w:sz w:val="20"/>
            <w:szCs w:val="20"/>
            <w:lang w:eastAsia="en-GB"/>
          </w:rPr>
          <w:tab/>
        </w:r>
        <w:r w:rsidR="00062A26" w:rsidRPr="00062A26">
          <w:rPr>
            <w:rStyle w:val="Hyperlink"/>
            <w:noProof/>
            <w:sz w:val="20"/>
            <w:szCs w:val="20"/>
          </w:rPr>
          <w:t>Use cases that can be addressed with minimal effort should not be excluded.</w:t>
        </w:r>
      </w:hyperlink>
    </w:p>
    <w:p w14:paraId="3B746F8D"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87" w:history="1">
        <w:r w:rsidRPr="00062A26">
          <w:rPr>
            <w:rStyle w:val="Hyperlink"/>
            <w:noProof/>
            <w:sz w:val="20"/>
            <w:szCs w:val="20"/>
          </w:rPr>
          <w:t>Proposal 2</w:t>
        </w:r>
        <w:r w:rsidRPr="00062A26">
          <w:rPr>
            <w:rFonts w:asciiTheme="minorHAnsi" w:eastAsiaTheme="minorEastAsia" w:hAnsiTheme="minorHAnsi"/>
            <w:b w:val="0"/>
            <w:noProof/>
            <w:sz w:val="20"/>
            <w:szCs w:val="20"/>
            <w:lang w:eastAsia="en-GB"/>
          </w:rPr>
          <w:tab/>
        </w:r>
        <w:r w:rsidRPr="00062A26">
          <w:rPr>
            <w:rStyle w:val="Hyperlink"/>
            <w:noProof/>
            <w:sz w:val="20"/>
            <w:szCs w:val="20"/>
          </w:rPr>
          <w:t>The necessity of HARQ enhancements for IoT NTN should be studied considering the reduction in link throughput.</w:t>
        </w:r>
      </w:hyperlink>
    </w:p>
    <w:p w14:paraId="7CE85720"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88" w:history="1">
        <w:r w:rsidRPr="00062A26">
          <w:rPr>
            <w:rStyle w:val="Hyperlink"/>
            <w:noProof/>
            <w:sz w:val="20"/>
            <w:szCs w:val="20"/>
          </w:rPr>
          <w:t>Proposal 3</w:t>
        </w:r>
        <w:r w:rsidRPr="00062A26">
          <w:rPr>
            <w:rFonts w:asciiTheme="minorHAnsi" w:eastAsiaTheme="minorEastAsia" w:hAnsiTheme="minorHAnsi"/>
            <w:b w:val="0"/>
            <w:noProof/>
            <w:sz w:val="20"/>
            <w:szCs w:val="20"/>
            <w:lang w:eastAsia="en-GB"/>
          </w:rPr>
          <w:tab/>
        </w:r>
        <w:r w:rsidRPr="00062A26">
          <w:rPr>
            <w:rStyle w:val="Hyperlink"/>
            <w:noProof/>
            <w:sz w:val="20"/>
            <w:szCs w:val="20"/>
          </w:rPr>
          <w:t>RAN2 to conclude performance evaluations before considering whether latency is an essential functionality in IoT NTN and discuss the need for enhancements.</w:t>
        </w:r>
      </w:hyperlink>
    </w:p>
    <w:p w14:paraId="78635DD5"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89" w:history="1">
        <w:r w:rsidRPr="00062A26">
          <w:rPr>
            <w:rStyle w:val="Hyperlink"/>
            <w:noProof/>
            <w:sz w:val="20"/>
            <w:szCs w:val="20"/>
          </w:rPr>
          <w:t>Proposal 4</w:t>
        </w:r>
        <w:r w:rsidRPr="00062A26">
          <w:rPr>
            <w:rFonts w:asciiTheme="minorHAnsi" w:eastAsiaTheme="minorEastAsia" w:hAnsiTheme="minorHAnsi"/>
            <w:b w:val="0"/>
            <w:noProof/>
            <w:sz w:val="20"/>
            <w:szCs w:val="20"/>
            <w:lang w:eastAsia="en-GB"/>
          </w:rPr>
          <w:tab/>
        </w:r>
        <w:r w:rsidRPr="00062A26">
          <w:rPr>
            <w:rStyle w:val="Hyperlink"/>
            <w:noProof/>
            <w:sz w:val="20"/>
            <w:szCs w:val="20"/>
          </w:rPr>
          <w:t>RAN2 to wait until RAN1 studies on UE power consumption in IoT NTN conclude before considering whether UE power consumption is an essential functionality in IoT NTN and discuss the need for enhancements.</w:t>
        </w:r>
      </w:hyperlink>
    </w:p>
    <w:p w14:paraId="1713B449"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90" w:history="1">
        <w:r w:rsidRPr="00062A26">
          <w:rPr>
            <w:rStyle w:val="Hyperlink"/>
            <w:noProof/>
            <w:sz w:val="20"/>
            <w:szCs w:val="20"/>
          </w:rPr>
          <w:t>Proposal 5</w:t>
        </w:r>
        <w:r w:rsidRPr="00062A26">
          <w:rPr>
            <w:rFonts w:asciiTheme="minorHAnsi" w:eastAsiaTheme="minorEastAsia" w:hAnsiTheme="minorHAnsi"/>
            <w:b w:val="0"/>
            <w:noProof/>
            <w:sz w:val="20"/>
            <w:szCs w:val="20"/>
            <w:lang w:eastAsia="en-GB"/>
          </w:rPr>
          <w:tab/>
        </w:r>
        <w:r w:rsidRPr="00062A26">
          <w:rPr>
            <w:rStyle w:val="Hyperlink"/>
            <w:noProof/>
            <w:sz w:val="20"/>
            <w:szCs w:val="20"/>
          </w:rPr>
          <w:t>Existing mobility mechanisms are considered essential functionality for LTE-M and NB-IoT in IoT NTN.</w:t>
        </w:r>
      </w:hyperlink>
    </w:p>
    <w:p w14:paraId="69F80A64" w14:textId="77777777" w:rsidR="00062A26" w:rsidRPr="00062A26" w:rsidRDefault="00062A26" w:rsidP="00062A26">
      <w:pPr>
        <w:pStyle w:val="TableofFigures"/>
        <w:tabs>
          <w:tab w:val="right" w:leader="dot" w:pos="9629"/>
        </w:tabs>
        <w:jc w:val="both"/>
        <w:rPr>
          <w:rFonts w:asciiTheme="minorHAnsi" w:eastAsiaTheme="minorEastAsia" w:hAnsiTheme="minorHAnsi"/>
          <w:b w:val="0"/>
          <w:noProof/>
          <w:sz w:val="20"/>
          <w:szCs w:val="20"/>
          <w:lang w:eastAsia="en-GB"/>
        </w:rPr>
      </w:pPr>
      <w:hyperlink w:anchor="_Toc68246391" w:history="1">
        <w:r w:rsidRPr="00062A26">
          <w:rPr>
            <w:rStyle w:val="Hyperlink"/>
            <w:noProof/>
            <w:sz w:val="20"/>
            <w:szCs w:val="20"/>
          </w:rPr>
          <w:t>Proposal 6</w:t>
        </w:r>
        <w:r w:rsidRPr="00062A26">
          <w:rPr>
            <w:rFonts w:asciiTheme="minorHAnsi" w:eastAsiaTheme="minorEastAsia" w:hAnsiTheme="minorHAnsi"/>
            <w:b w:val="0"/>
            <w:noProof/>
            <w:sz w:val="20"/>
            <w:szCs w:val="20"/>
            <w:lang w:eastAsia="en-GB"/>
          </w:rPr>
          <w:tab/>
        </w:r>
        <w:r w:rsidRPr="00062A26">
          <w:rPr>
            <w:rStyle w:val="Hyperlink"/>
            <w:noProof/>
            <w:sz w:val="20"/>
            <w:szCs w:val="20"/>
          </w:rPr>
          <w:t>Minor adjustments to existing mobility mechanisms, such as a new parameter, parameter values, timers, timing etc. are considered essential enhancements to adapt functionality to NTN.</w:t>
        </w:r>
      </w:hyperlink>
    </w:p>
    <w:p w14:paraId="6BB38F2B" w14:textId="77777777" w:rsidR="00062A26" w:rsidRDefault="00062A26" w:rsidP="00062A26">
      <w:pPr>
        <w:pStyle w:val="TableofFigures"/>
        <w:tabs>
          <w:tab w:val="right" w:leader="dot" w:pos="9629"/>
        </w:tabs>
        <w:jc w:val="both"/>
        <w:rPr>
          <w:rFonts w:asciiTheme="minorHAnsi" w:eastAsiaTheme="minorEastAsia" w:hAnsiTheme="minorHAnsi"/>
          <w:b w:val="0"/>
          <w:noProof/>
          <w:lang w:eastAsia="en-GB"/>
        </w:rPr>
      </w:pPr>
      <w:hyperlink w:anchor="_Toc68246392" w:history="1">
        <w:r w:rsidRPr="00062A26">
          <w:rPr>
            <w:rStyle w:val="Hyperlink"/>
            <w:noProof/>
            <w:sz w:val="20"/>
            <w:szCs w:val="20"/>
          </w:rPr>
          <w:t>Proposal 7</w:t>
        </w:r>
        <w:r w:rsidRPr="00062A26">
          <w:rPr>
            <w:rFonts w:asciiTheme="minorHAnsi" w:eastAsiaTheme="minorEastAsia" w:hAnsiTheme="minorHAnsi"/>
            <w:b w:val="0"/>
            <w:noProof/>
            <w:sz w:val="20"/>
            <w:szCs w:val="20"/>
            <w:lang w:eastAsia="en-GB"/>
          </w:rPr>
          <w:tab/>
        </w:r>
        <w:r w:rsidRPr="00062A26">
          <w:rPr>
            <w:rStyle w:val="Hyperlink"/>
            <w:noProof/>
            <w:sz w:val="20"/>
            <w:szCs w:val="20"/>
          </w:rPr>
          <w:t>No new mobility mechanisms or major enhancements to existing mechanisms are introduced in Rel-17 for IoT NTN.</w:t>
        </w:r>
      </w:hyperlink>
    </w:p>
    <w:p w14:paraId="26EBCCF9" w14:textId="62885397" w:rsidR="00C01F33" w:rsidRPr="009C2D28" w:rsidRDefault="006E1C82" w:rsidP="00062A26">
      <w:pPr>
        <w:pStyle w:val="BodyText"/>
        <w:rPr>
          <w:b/>
          <w:bCs/>
        </w:rPr>
      </w:pPr>
      <w:r w:rsidRPr="00987105">
        <w:rPr>
          <w:b/>
          <w:bCs/>
          <w:sz w:val="20"/>
          <w:szCs w:val="20"/>
        </w:rPr>
        <w:fldChar w:fldCharType="end"/>
      </w:r>
    </w:p>
    <w:p w14:paraId="3F23459F" w14:textId="77777777" w:rsidR="00F507D1" w:rsidRPr="00CE0424" w:rsidRDefault="00F507D1" w:rsidP="00CE0424">
      <w:pPr>
        <w:pStyle w:val="Heading1"/>
      </w:pPr>
      <w:bookmarkStart w:id="15" w:name="_In-sequence_SDU_delivery"/>
      <w:bookmarkEnd w:id="15"/>
      <w:r w:rsidRPr="00CE0424">
        <w:t>References</w:t>
      </w:r>
    </w:p>
    <w:p w14:paraId="03BE2943" w14:textId="40E67431" w:rsidR="003A7EF3" w:rsidRPr="00D0503E" w:rsidRDefault="007C7EF8" w:rsidP="00CE0424">
      <w:pPr>
        <w:pStyle w:val="Reference"/>
        <w:rPr>
          <w:sz w:val="20"/>
          <w:szCs w:val="20"/>
        </w:rPr>
      </w:pPr>
      <w:bookmarkStart w:id="16" w:name="_Ref49798330"/>
      <w:bookmarkStart w:id="17" w:name="_Ref45286859"/>
      <w:bookmarkStart w:id="18" w:name="_Ref174151459"/>
      <w:bookmarkStart w:id="19" w:name="_Ref189809556"/>
      <w:r w:rsidRPr="00D0503E">
        <w:rPr>
          <w:sz w:val="20"/>
          <w:szCs w:val="20"/>
        </w:rPr>
        <w:t>RP-202689, Study on NB-IoT/eMTC support for Non-terrestrial Network, RAN#90</w:t>
      </w:r>
      <w:r w:rsidR="00D0503E">
        <w:rPr>
          <w:sz w:val="20"/>
          <w:szCs w:val="20"/>
        </w:rPr>
        <w:t>-e</w:t>
      </w:r>
      <w:r w:rsidRPr="00D0503E">
        <w:rPr>
          <w:sz w:val="20"/>
          <w:szCs w:val="20"/>
        </w:rPr>
        <w:t>, Dec 2020</w:t>
      </w:r>
      <w:bookmarkEnd w:id="16"/>
      <w:r w:rsidR="004D4967" w:rsidRPr="00D0503E">
        <w:rPr>
          <w:sz w:val="20"/>
          <w:szCs w:val="20"/>
        </w:rPr>
        <w:t>.</w:t>
      </w:r>
      <w:bookmarkEnd w:id="17"/>
      <w:bookmarkEnd w:id="18"/>
      <w:bookmarkEnd w:id="19"/>
    </w:p>
    <w:p w14:paraId="4399140C" w14:textId="62A2D7C4" w:rsidR="00BA1283" w:rsidRPr="00D0503E" w:rsidRDefault="00BA1283" w:rsidP="00BA1283">
      <w:pPr>
        <w:pStyle w:val="Reference"/>
        <w:rPr>
          <w:sz w:val="20"/>
          <w:szCs w:val="20"/>
        </w:rPr>
      </w:pPr>
      <w:bookmarkStart w:id="20" w:name="_Ref49798325"/>
      <w:r w:rsidRPr="00D0503E">
        <w:rPr>
          <w:sz w:val="20"/>
          <w:szCs w:val="20"/>
        </w:rPr>
        <w:t>TR 38.821, Solutions for NR to support Non-terrestrial Networks (NTN), 3GPP, V16.0.0, Jan 2016.</w:t>
      </w:r>
      <w:bookmarkEnd w:id="20"/>
    </w:p>
    <w:p w14:paraId="6D87B8F6" w14:textId="752BAD56" w:rsidR="00025352" w:rsidRPr="00D0503E" w:rsidRDefault="00025352">
      <w:pPr>
        <w:pStyle w:val="Reference"/>
      </w:pPr>
      <w:bookmarkStart w:id="21" w:name="_Ref53749897"/>
      <w:r w:rsidRPr="00D0503E">
        <w:rPr>
          <w:sz w:val="20"/>
          <w:szCs w:val="20"/>
        </w:rPr>
        <w:t>3GPP TR 38.913, “Study on scenarios and requirements for next generation access technologies,” version 16.0.0, July 2020.</w:t>
      </w:r>
      <w:bookmarkEnd w:id="21"/>
    </w:p>
    <w:p w14:paraId="7264AE6F" w14:textId="4B659E24" w:rsidR="007B1B3D" w:rsidRPr="00062A26" w:rsidRDefault="00D0503E" w:rsidP="00062A26">
      <w:pPr>
        <w:pStyle w:val="Reference"/>
      </w:pPr>
      <w:r>
        <w:rPr>
          <w:sz w:val="20"/>
          <w:szCs w:val="20"/>
        </w:rPr>
        <w:t>RP-210915, “</w:t>
      </w:r>
      <w:r w:rsidRPr="00D0503E">
        <w:rPr>
          <w:sz w:val="20"/>
          <w:szCs w:val="20"/>
        </w:rPr>
        <w:t>Moderator's summary for email discussion [91E][42][NTN_IoT_roadmap]</w:t>
      </w:r>
      <w:r>
        <w:rPr>
          <w:sz w:val="20"/>
          <w:szCs w:val="20"/>
        </w:rPr>
        <w:t>”, RAN#91-e, Mar 2021</w:t>
      </w:r>
      <w:r w:rsidR="00062A26">
        <w:t>.</w:t>
      </w:r>
    </w:p>
    <w:sectPr w:rsidR="007B1B3D" w:rsidRPr="00062A2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8D9D2" w14:textId="77777777" w:rsidR="00736109" w:rsidRDefault="00736109">
      <w:r>
        <w:separator/>
      </w:r>
    </w:p>
  </w:endnote>
  <w:endnote w:type="continuationSeparator" w:id="0">
    <w:p w14:paraId="35BDDF33" w14:textId="77777777" w:rsidR="00736109" w:rsidRDefault="00736109">
      <w:r>
        <w:continuationSeparator/>
      </w:r>
    </w:p>
  </w:endnote>
  <w:endnote w:type="continuationNotice" w:id="1">
    <w:p w14:paraId="3A76C1A9" w14:textId="77777777" w:rsidR="00736109" w:rsidRDefault="00736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736109" w:rsidRDefault="007361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1F871" w14:textId="77777777" w:rsidR="00736109" w:rsidRDefault="00736109">
      <w:r>
        <w:separator/>
      </w:r>
    </w:p>
  </w:footnote>
  <w:footnote w:type="continuationSeparator" w:id="0">
    <w:p w14:paraId="61280377" w14:textId="77777777" w:rsidR="00736109" w:rsidRDefault="00736109">
      <w:r>
        <w:continuationSeparator/>
      </w:r>
    </w:p>
  </w:footnote>
  <w:footnote w:type="continuationNotice" w:id="1">
    <w:p w14:paraId="1659E97A" w14:textId="77777777" w:rsidR="00736109" w:rsidRDefault="007361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736109" w:rsidRDefault="007361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11"/>
  </w:num>
  <w:num w:numId="18">
    <w:abstractNumId w:val="12"/>
  </w:num>
  <w:num w:numId="19">
    <w:abstractNumId w:val="8"/>
  </w:num>
  <w:num w:numId="20">
    <w:abstractNumId w:val="33"/>
  </w:num>
  <w:num w:numId="21">
    <w:abstractNumId w:val="16"/>
  </w:num>
  <w:num w:numId="22">
    <w:abstractNumId w:val="31"/>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0"/>
  </w:num>
  <w:num w:numId="27">
    <w:abstractNumId w:val="3"/>
  </w:num>
  <w:num w:numId="28">
    <w:abstractNumId w:val="4"/>
  </w:num>
  <w:num w:numId="29">
    <w:abstractNumId w:val="24"/>
  </w:num>
  <w:num w:numId="30">
    <w:abstractNumId w:val="7"/>
  </w:num>
  <w:num w:numId="31">
    <w:abstractNumId w:val="27"/>
  </w:num>
  <w:num w:numId="32">
    <w:abstractNumId w:val="34"/>
  </w:num>
  <w:num w:numId="33">
    <w:abstractNumId w:val="22"/>
  </w:num>
  <w:num w:numId="34">
    <w:abstractNumId w:val="17"/>
  </w:num>
  <w:num w:numId="35">
    <w:abstractNumId w:val="32"/>
  </w:num>
  <w:num w:numId="36">
    <w:abstractNumId w:val="6"/>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560E"/>
    <w:rsid w:val="0000564C"/>
    <w:rsid w:val="000062F7"/>
    <w:rsid w:val="00006446"/>
    <w:rsid w:val="000065D6"/>
    <w:rsid w:val="00006896"/>
    <w:rsid w:val="000069E4"/>
    <w:rsid w:val="00006BCA"/>
    <w:rsid w:val="00007CDC"/>
    <w:rsid w:val="00011B28"/>
    <w:rsid w:val="000143C1"/>
    <w:rsid w:val="00015D15"/>
    <w:rsid w:val="00021CC0"/>
    <w:rsid w:val="0002430F"/>
    <w:rsid w:val="00025352"/>
    <w:rsid w:val="0002564D"/>
    <w:rsid w:val="00025ECA"/>
    <w:rsid w:val="00027C74"/>
    <w:rsid w:val="00030AAF"/>
    <w:rsid w:val="000325B8"/>
    <w:rsid w:val="000348F3"/>
    <w:rsid w:val="00034C15"/>
    <w:rsid w:val="00036BA1"/>
    <w:rsid w:val="00037FC4"/>
    <w:rsid w:val="00040CB3"/>
    <w:rsid w:val="00041BD9"/>
    <w:rsid w:val="000422E2"/>
    <w:rsid w:val="000428B1"/>
    <w:rsid w:val="00042F22"/>
    <w:rsid w:val="000444EF"/>
    <w:rsid w:val="00047284"/>
    <w:rsid w:val="00051838"/>
    <w:rsid w:val="00052A07"/>
    <w:rsid w:val="00052C67"/>
    <w:rsid w:val="000534E3"/>
    <w:rsid w:val="00053C59"/>
    <w:rsid w:val="00055ABF"/>
    <w:rsid w:val="0005606A"/>
    <w:rsid w:val="00057117"/>
    <w:rsid w:val="000616E7"/>
    <w:rsid w:val="00062A26"/>
    <w:rsid w:val="0006380C"/>
    <w:rsid w:val="0006487E"/>
    <w:rsid w:val="000651C3"/>
    <w:rsid w:val="00065E1A"/>
    <w:rsid w:val="00067388"/>
    <w:rsid w:val="000710D1"/>
    <w:rsid w:val="00071AA4"/>
    <w:rsid w:val="00074689"/>
    <w:rsid w:val="000750EE"/>
    <w:rsid w:val="0007625A"/>
    <w:rsid w:val="00076754"/>
    <w:rsid w:val="00077E5F"/>
    <w:rsid w:val="0008036A"/>
    <w:rsid w:val="00081AE6"/>
    <w:rsid w:val="0008503D"/>
    <w:rsid w:val="000855EB"/>
    <w:rsid w:val="00085B52"/>
    <w:rsid w:val="000866F2"/>
    <w:rsid w:val="0009009F"/>
    <w:rsid w:val="00091557"/>
    <w:rsid w:val="000924C1"/>
    <w:rsid w:val="000924F0"/>
    <w:rsid w:val="00093474"/>
    <w:rsid w:val="0009510F"/>
    <w:rsid w:val="00095F1E"/>
    <w:rsid w:val="000963FB"/>
    <w:rsid w:val="000A0885"/>
    <w:rsid w:val="000A1B7B"/>
    <w:rsid w:val="000A56F2"/>
    <w:rsid w:val="000B0A20"/>
    <w:rsid w:val="000B2719"/>
    <w:rsid w:val="000B316E"/>
    <w:rsid w:val="000B3A8F"/>
    <w:rsid w:val="000B4AB9"/>
    <w:rsid w:val="000B58C3"/>
    <w:rsid w:val="000B61E9"/>
    <w:rsid w:val="000B6259"/>
    <w:rsid w:val="000B7065"/>
    <w:rsid w:val="000B7B1A"/>
    <w:rsid w:val="000C165A"/>
    <w:rsid w:val="000C2E19"/>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1106"/>
    <w:rsid w:val="000F21D9"/>
    <w:rsid w:val="000F3BE9"/>
    <w:rsid w:val="000F3F6C"/>
    <w:rsid w:val="000F5ED9"/>
    <w:rsid w:val="000F6DF3"/>
    <w:rsid w:val="000F718E"/>
    <w:rsid w:val="000F79F0"/>
    <w:rsid w:val="0010027D"/>
    <w:rsid w:val="001005FF"/>
    <w:rsid w:val="001007EE"/>
    <w:rsid w:val="00100F98"/>
    <w:rsid w:val="0010168C"/>
    <w:rsid w:val="001037E0"/>
    <w:rsid w:val="001062FB"/>
    <w:rsid w:val="001063E6"/>
    <w:rsid w:val="0010725E"/>
    <w:rsid w:val="001119BB"/>
    <w:rsid w:val="00113CF4"/>
    <w:rsid w:val="001153EA"/>
    <w:rsid w:val="00115643"/>
    <w:rsid w:val="001166B2"/>
    <w:rsid w:val="00116765"/>
    <w:rsid w:val="001208A4"/>
    <w:rsid w:val="001219F5"/>
    <w:rsid w:val="00121A20"/>
    <w:rsid w:val="0012377F"/>
    <w:rsid w:val="00123E1A"/>
    <w:rsid w:val="00124314"/>
    <w:rsid w:val="0012499D"/>
    <w:rsid w:val="00126B4A"/>
    <w:rsid w:val="0013185E"/>
    <w:rsid w:val="00132FD0"/>
    <w:rsid w:val="001344C0"/>
    <w:rsid w:val="001346FA"/>
    <w:rsid w:val="00135252"/>
    <w:rsid w:val="00136FB2"/>
    <w:rsid w:val="00137AB5"/>
    <w:rsid w:val="00137F0B"/>
    <w:rsid w:val="001417A7"/>
    <w:rsid w:val="001429C0"/>
    <w:rsid w:val="0014763D"/>
    <w:rsid w:val="00151E23"/>
    <w:rsid w:val="001526E0"/>
    <w:rsid w:val="0015455E"/>
    <w:rsid w:val="001551B5"/>
    <w:rsid w:val="00155E20"/>
    <w:rsid w:val="00156282"/>
    <w:rsid w:val="00161221"/>
    <w:rsid w:val="0016340E"/>
    <w:rsid w:val="001659C1"/>
    <w:rsid w:val="00173A8E"/>
    <w:rsid w:val="00173CE7"/>
    <w:rsid w:val="0017502C"/>
    <w:rsid w:val="00177C20"/>
    <w:rsid w:val="0018143F"/>
    <w:rsid w:val="0018172B"/>
    <w:rsid w:val="00181FF8"/>
    <w:rsid w:val="00190AC1"/>
    <w:rsid w:val="0019341A"/>
    <w:rsid w:val="00195B5B"/>
    <w:rsid w:val="00197DF9"/>
    <w:rsid w:val="001A1987"/>
    <w:rsid w:val="001A2564"/>
    <w:rsid w:val="001A2CBE"/>
    <w:rsid w:val="001A341F"/>
    <w:rsid w:val="001A45EA"/>
    <w:rsid w:val="001A493D"/>
    <w:rsid w:val="001A5298"/>
    <w:rsid w:val="001A6173"/>
    <w:rsid w:val="001A66AB"/>
    <w:rsid w:val="001A6CBA"/>
    <w:rsid w:val="001B0204"/>
    <w:rsid w:val="001B0D97"/>
    <w:rsid w:val="001B2EE6"/>
    <w:rsid w:val="001B3911"/>
    <w:rsid w:val="001B4ED0"/>
    <w:rsid w:val="001B5A5D"/>
    <w:rsid w:val="001B5B3E"/>
    <w:rsid w:val="001B7166"/>
    <w:rsid w:val="001C1A25"/>
    <w:rsid w:val="001C1CE5"/>
    <w:rsid w:val="001C3D2A"/>
    <w:rsid w:val="001C404E"/>
    <w:rsid w:val="001C4ADA"/>
    <w:rsid w:val="001D07FB"/>
    <w:rsid w:val="001D1E75"/>
    <w:rsid w:val="001D32F8"/>
    <w:rsid w:val="001D388B"/>
    <w:rsid w:val="001D51BA"/>
    <w:rsid w:val="001D53E7"/>
    <w:rsid w:val="001D6342"/>
    <w:rsid w:val="001D6D53"/>
    <w:rsid w:val="001E2883"/>
    <w:rsid w:val="001E2A7A"/>
    <w:rsid w:val="001E37CA"/>
    <w:rsid w:val="001E58E2"/>
    <w:rsid w:val="001E7AED"/>
    <w:rsid w:val="001F0CA6"/>
    <w:rsid w:val="001F3916"/>
    <w:rsid w:val="001F4347"/>
    <w:rsid w:val="001F54C5"/>
    <w:rsid w:val="001F550B"/>
    <w:rsid w:val="001F662C"/>
    <w:rsid w:val="001F703E"/>
    <w:rsid w:val="001F7074"/>
    <w:rsid w:val="001F7A2F"/>
    <w:rsid w:val="001F7FCF"/>
    <w:rsid w:val="00200490"/>
    <w:rsid w:val="00201619"/>
    <w:rsid w:val="00201EB3"/>
    <w:rsid w:val="00201F3A"/>
    <w:rsid w:val="00203F96"/>
    <w:rsid w:val="00203FC7"/>
    <w:rsid w:val="00204612"/>
    <w:rsid w:val="002069B2"/>
    <w:rsid w:val="00207FA3"/>
    <w:rsid w:val="00210898"/>
    <w:rsid w:val="00214DA8"/>
    <w:rsid w:val="00215423"/>
    <w:rsid w:val="002158FA"/>
    <w:rsid w:val="00220600"/>
    <w:rsid w:val="00220E1C"/>
    <w:rsid w:val="002224DB"/>
    <w:rsid w:val="00223FCB"/>
    <w:rsid w:val="002252C3"/>
    <w:rsid w:val="00225C54"/>
    <w:rsid w:val="00227240"/>
    <w:rsid w:val="00230765"/>
    <w:rsid w:val="00230D18"/>
    <w:rsid w:val="002319E4"/>
    <w:rsid w:val="00232D35"/>
    <w:rsid w:val="00235632"/>
    <w:rsid w:val="00235872"/>
    <w:rsid w:val="002358DD"/>
    <w:rsid w:val="002376F1"/>
    <w:rsid w:val="00237AD2"/>
    <w:rsid w:val="00237B86"/>
    <w:rsid w:val="00241559"/>
    <w:rsid w:val="00242173"/>
    <w:rsid w:val="002435B3"/>
    <w:rsid w:val="002458EB"/>
    <w:rsid w:val="002500C8"/>
    <w:rsid w:val="00257543"/>
    <w:rsid w:val="002617E7"/>
    <w:rsid w:val="00262371"/>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42DC"/>
    <w:rsid w:val="00285FBB"/>
    <w:rsid w:val="00286ACD"/>
    <w:rsid w:val="00287838"/>
    <w:rsid w:val="002907B5"/>
    <w:rsid w:val="002927F9"/>
    <w:rsid w:val="00292DA6"/>
    <w:rsid w:val="00292EB7"/>
    <w:rsid w:val="00296227"/>
    <w:rsid w:val="00296F44"/>
    <w:rsid w:val="0029777D"/>
    <w:rsid w:val="00297DD4"/>
    <w:rsid w:val="002A055E"/>
    <w:rsid w:val="002A1D4E"/>
    <w:rsid w:val="002A2429"/>
    <w:rsid w:val="002A2869"/>
    <w:rsid w:val="002A2A3F"/>
    <w:rsid w:val="002B0965"/>
    <w:rsid w:val="002B24D6"/>
    <w:rsid w:val="002B63EA"/>
    <w:rsid w:val="002B6EB1"/>
    <w:rsid w:val="002C2103"/>
    <w:rsid w:val="002C28FA"/>
    <w:rsid w:val="002C31B1"/>
    <w:rsid w:val="002C41E6"/>
    <w:rsid w:val="002C532A"/>
    <w:rsid w:val="002D05A4"/>
    <w:rsid w:val="002D071A"/>
    <w:rsid w:val="002D3325"/>
    <w:rsid w:val="002D34B2"/>
    <w:rsid w:val="002D4404"/>
    <w:rsid w:val="002D48B0"/>
    <w:rsid w:val="002D5854"/>
    <w:rsid w:val="002D5B37"/>
    <w:rsid w:val="002D688A"/>
    <w:rsid w:val="002D7637"/>
    <w:rsid w:val="002E17F2"/>
    <w:rsid w:val="002E7CAE"/>
    <w:rsid w:val="002F13E4"/>
    <w:rsid w:val="002F2771"/>
    <w:rsid w:val="002F37A9"/>
    <w:rsid w:val="002F54D1"/>
    <w:rsid w:val="002F55A8"/>
    <w:rsid w:val="002F76D4"/>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12AE"/>
    <w:rsid w:val="00322A1B"/>
    <w:rsid w:val="00322C9F"/>
    <w:rsid w:val="00323314"/>
    <w:rsid w:val="00324D23"/>
    <w:rsid w:val="00325BB5"/>
    <w:rsid w:val="00331751"/>
    <w:rsid w:val="00333536"/>
    <w:rsid w:val="00334579"/>
    <w:rsid w:val="00335858"/>
    <w:rsid w:val="00336BDA"/>
    <w:rsid w:val="00342BD7"/>
    <w:rsid w:val="0034367C"/>
    <w:rsid w:val="00346DB5"/>
    <w:rsid w:val="0034764E"/>
    <w:rsid w:val="003477B1"/>
    <w:rsid w:val="00351F7F"/>
    <w:rsid w:val="003532C9"/>
    <w:rsid w:val="00356C68"/>
    <w:rsid w:val="00357380"/>
    <w:rsid w:val="0035774C"/>
    <w:rsid w:val="003602D9"/>
    <w:rsid w:val="003604CE"/>
    <w:rsid w:val="00360E6D"/>
    <w:rsid w:val="00365B44"/>
    <w:rsid w:val="0036663D"/>
    <w:rsid w:val="00366AFF"/>
    <w:rsid w:val="00370E47"/>
    <w:rsid w:val="003742AC"/>
    <w:rsid w:val="00377CE1"/>
    <w:rsid w:val="00380146"/>
    <w:rsid w:val="00381A58"/>
    <w:rsid w:val="00385BF0"/>
    <w:rsid w:val="00386FED"/>
    <w:rsid w:val="003939FF"/>
    <w:rsid w:val="003A2223"/>
    <w:rsid w:val="003A2A0F"/>
    <w:rsid w:val="003A45A1"/>
    <w:rsid w:val="003A5B0A"/>
    <w:rsid w:val="003A6BAC"/>
    <w:rsid w:val="003A70A4"/>
    <w:rsid w:val="003A7EF3"/>
    <w:rsid w:val="003B159C"/>
    <w:rsid w:val="003B369F"/>
    <w:rsid w:val="003B36A3"/>
    <w:rsid w:val="003B62F7"/>
    <w:rsid w:val="003B64BB"/>
    <w:rsid w:val="003B784A"/>
    <w:rsid w:val="003B7FE5"/>
    <w:rsid w:val="003C11C8"/>
    <w:rsid w:val="003C2702"/>
    <w:rsid w:val="003C52AA"/>
    <w:rsid w:val="003C7806"/>
    <w:rsid w:val="003C7DBB"/>
    <w:rsid w:val="003D109F"/>
    <w:rsid w:val="003D2478"/>
    <w:rsid w:val="003D35C8"/>
    <w:rsid w:val="003D3C45"/>
    <w:rsid w:val="003D5B1F"/>
    <w:rsid w:val="003E15FA"/>
    <w:rsid w:val="003E4DB2"/>
    <w:rsid w:val="003E55E4"/>
    <w:rsid w:val="003E74E3"/>
    <w:rsid w:val="003E7A6F"/>
    <w:rsid w:val="003F05C7"/>
    <w:rsid w:val="003F2BE2"/>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263E"/>
    <w:rsid w:val="0041286C"/>
    <w:rsid w:val="00413AAC"/>
    <w:rsid w:val="00413E92"/>
    <w:rsid w:val="00416742"/>
    <w:rsid w:val="00416782"/>
    <w:rsid w:val="00421105"/>
    <w:rsid w:val="00422AA4"/>
    <w:rsid w:val="0042414C"/>
    <w:rsid w:val="004242F4"/>
    <w:rsid w:val="00426C95"/>
    <w:rsid w:val="00427248"/>
    <w:rsid w:val="00432B35"/>
    <w:rsid w:val="00432D9F"/>
    <w:rsid w:val="00433FD2"/>
    <w:rsid w:val="00435E82"/>
    <w:rsid w:val="00437447"/>
    <w:rsid w:val="00437B96"/>
    <w:rsid w:val="00441A68"/>
    <w:rsid w:val="00441A92"/>
    <w:rsid w:val="00441CAD"/>
    <w:rsid w:val="0044229B"/>
    <w:rsid w:val="004431DC"/>
    <w:rsid w:val="00444F56"/>
    <w:rsid w:val="00446488"/>
    <w:rsid w:val="00447BEE"/>
    <w:rsid w:val="00447DCB"/>
    <w:rsid w:val="004517AA"/>
    <w:rsid w:val="00452CAC"/>
    <w:rsid w:val="00457565"/>
    <w:rsid w:val="00457B71"/>
    <w:rsid w:val="00464689"/>
    <w:rsid w:val="0046597C"/>
    <w:rsid w:val="004669E2"/>
    <w:rsid w:val="0046748A"/>
    <w:rsid w:val="00470473"/>
    <w:rsid w:val="004708D1"/>
    <w:rsid w:val="00470C31"/>
    <w:rsid w:val="00471DE0"/>
    <w:rsid w:val="004734D0"/>
    <w:rsid w:val="0047556B"/>
    <w:rsid w:val="004756CB"/>
    <w:rsid w:val="00477768"/>
    <w:rsid w:val="0049027F"/>
    <w:rsid w:val="0049154D"/>
    <w:rsid w:val="00492BC5"/>
    <w:rsid w:val="004939E5"/>
    <w:rsid w:val="004957C0"/>
    <w:rsid w:val="004964F1"/>
    <w:rsid w:val="004A16BC"/>
    <w:rsid w:val="004A24E4"/>
    <w:rsid w:val="004A27F6"/>
    <w:rsid w:val="004A2B94"/>
    <w:rsid w:val="004B4F06"/>
    <w:rsid w:val="004B5B88"/>
    <w:rsid w:val="004B6516"/>
    <w:rsid w:val="004B6F6A"/>
    <w:rsid w:val="004B7C0C"/>
    <w:rsid w:val="004C0476"/>
    <w:rsid w:val="004C3898"/>
    <w:rsid w:val="004C3DCA"/>
    <w:rsid w:val="004C4298"/>
    <w:rsid w:val="004C47CB"/>
    <w:rsid w:val="004C6DAC"/>
    <w:rsid w:val="004D10E7"/>
    <w:rsid w:val="004D1987"/>
    <w:rsid w:val="004D24DB"/>
    <w:rsid w:val="004D3530"/>
    <w:rsid w:val="004D36B1"/>
    <w:rsid w:val="004D4967"/>
    <w:rsid w:val="004D53BA"/>
    <w:rsid w:val="004D7EBD"/>
    <w:rsid w:val="004E2680"/>
    <w:rsid w:val="004E28F9"/>
    <w:rsid w:val="004E319F"/>
    <w:rsid w:val="004E462E"/>
    <w:rsid w:val="004E4986"/>
    <w:rsid w:val="004E56DC"/>
    <w:rsid w:val="004E76F4"/>
    <w:rsid w:val="004F0B4E"/>
    <w:rsid w:val="004F0B6C"/>
    <w:rsid w:val="004F2078"/>
    <w:rsid w:val="004F4DA3"/>
    <w:rsid w:val="00500643"/>
    <w:rsid w:val="00506557"/>
    <w:rsid w:val="0050677A"/>
    <w:rsid w:val="005108D8"/>
    <w:rsid w:val="005116F9"/>
    <w:rsid w:val="005153A7"/>
    <w:rsid w:val="005219CF"/>
    <w:rsid w:val="00523229"/>
    <w:rsid w:val="005233F3"/>
    <w:rsid w:val="005253CF"/>
    <w:rsid w:val="005307D2"/>
    <w:rsid w:val="00530B03"/>
    <w:rsid w:val="00531C32"/>
    <w:rsid w:val="00532029"/>
    <w:rsid w:val="005338E7"/>
    <w:rsid w:val="00534B59"/>
    <w:rsid w:val="00535197"/>
    <w:rsid w:val="00536759"/>
    <w:rsid w:val="00537C62"/>
    <w:rsid w:val="00540AC1"/>
    <w:rsid w:val="005413DB"/>
    <w:rsid w:val="005428E5"/>
    <w:rsid w:val="00546323"/>
    <w:rsid w:val="00546970"/>
    <w:rsid w:val="00553466"/>
    <w:rsid w:val="005538C5"/>
    <w:rsid w:val="005548BA"/>
    <w:rsid w:val="00554E19"/>
    <w:rsid w:val="00555524"/>
    <w:rsid w:val="005563ED"/>
    <w:rsid w:val="0056121F"/>
    <w:rsid w:val="0056534A"/>
    <w:rsid w:val="00566A88"/>
    <w:rsid w:val="00572505"/>
    <w:rsid w:val="005732DF"/>
    <w:rsid w:val="00573652"/>
    <w:rsid w:val="00577492"/>
    <w:rsid w:val="00581575"/>
    <w:rsid w:val="00581CFA"/>
    <w:rsid w:val="00582809"/>
    <w:rsid w:val="00584F82"/>
    <w:rsid w:val="005859D3"/>
    <w:rsid w:val="0058723D"/>
    <w:rsid w:val="005872A1"/>
    <w:rsid w:val="005873A8"/>
    <w:rsid w:val="0058798C"/>
    <w:rsid w:val="005900FA"/>
    <w:rsid w:val="005935A4"/>
    <w:rsid w:val="00593AE1"/>
    <w:rsid w:val="005948C2"/>
    <w:rsid w:val="00595290"/>
    <w:rsid w:val="00595449"/>
    <w:rsid w:val="00595DCA"/>
    <w:rsid w:val="00596A99"/>
    <w:rsid w:val="0059779B"/>
    <w:rsid w:val="005A209A"/>
    <w:rsid w:val="005A26AA"/>
    <w:rsid w:val="005A281A"/>
    <w:rsid w:val="005A4CF7"/>
    <w:rsid w:val="005A6410"/>
    <w:rsid w:val="005A662D"/>
    <w:rsid w:val="005A688A"/>
    <w:rsid w:val="005B028E"/>
    <w:rsid w:val="005B1409"/>
    <w:rsid w:val="005B331D"/>
    <w:rsid w:val="005B35D7"/>
    <w:rsid w:val="005B392A"/>
    <w:rsid w:val="005B3AA3"/>
    <w:rsid w:val="005B43E6"/>
    <w:rsid w:val="005B4730"/>
    <w:rsid w:val="005B6220"/>
    <w:rsid w:val="005B6B2C"/>
    <w:rsid w:val="005B6F83"/>
    <w:rsid w:val="005C185B"/>
    <w:rsid w:val="005C4A57"/>
    <w:rsid w:val="005C4E07"/>
    <w:rsid w:val="005C74FB"/>
    <w:rsid w:val="005D0C7D"/>
    <w:rsid w:val="005D1602"/>
    <w:rsid w:val="005D27C8"/>
    <w:rsid w:val="005D2FCB"/>
    <w:rsid w:val="005D3AB9"/>
    <w:rsid w:val="005D4F7E"/>
    <w:rsid w:val="005E02F0"/>
    <w:rsid w:val="005E1238"/>
    <w:rsid w:val="005E385F"/>
    <w:rsid w:val="005E5B81"/>
    <w:rsid w:val="005E7211"/>
    <w:rsid w:val="005F1727"/>
    <w:rsid w:val="005F1BA8"/>
    <w:rsid w:val="005F1E4B"/>
    <w:rsid w:val="005F2CB1"/>
    <w:rsid w:val="005F3025"/>
    <w:rsid w:val="005F618C"/>
    <w:rsid w:val="005F61D2"/>
    <w:rsid w:val="005F70BD"/>
    <w:rsid w:val="0060283C"/>
    <w:rsid w:val="00604F14"/>
    <w:rsid w:val="00611B83"/>
    <w:rsid w:val="00613257"/>
    <w:rsid w:val="00614326"/>
    <w:rsid w:val="00617C64"/>
    <w:rsid w:val="00617CDF"/>
    <w:rsid w:val="00620A71"/>
    <w:rsid w:val="00620D80"/>
    <w:rsid w:val="006234A6"/>
    <w:rsid w:val="00623AEA"/>
    <w:rsid w:val="00623BFB"/>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3475"/>
    <w:rsid w:val="0064396A"/>
    <w:rsid w:val="00644E1D"/>
    <w:rsid w:val="0064624E"/>
    <w:rsid w:val="00647E28"/>
    <w:rsid w:val="00650AB9"/>
    <w:rsid w:val="00650CBF"/>
    <w:rsid w:val="00652475"/>
    <w:rsid w:val="006549BE"/>
    <w:rsid w:val="00655733"/>
    <w:rsid w:val="00655ACD"/>
    <w:rsid w:val="00656A92"/>
    <w:rsid w:val="00656DDE"/>
    <w:rsid w:val="0066011D"/>
    <w:rsid w:val="006607C0"/>
    <w:rsid w:val="006613A6"/>
    <w:rsid w:val="006627A2"/>
    <w:rsid w:val="006634E6"/>
    <w:rsid w:val="00663F19"/>
    <w:rsid w:val="006655EE"/>
    <w:rsid w:val="00665E1C"/>
    <w:rsid w:val="00667951"/>
    <w:rsid w:val="00667D0B"/>
    <w:rsid w:val="00667EE7"/>
    <w:rsid w:val="00670922"/>
    <w:rsid w:val="00670BE1"/>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91CCF"/>
    <w:rsid w:val="0069268C"/>
    <w:rsid w:val="0069315F"/>
    <w:rsid w:val="00695FC2"/>
    <w:rsid w:val="00696949"/>
    <w:rsid w:val="00696E35"/>
    <w:rsid w:val="00697052"/>
    <w:rsid w:val="006A46FB"/>
    <w:rsid w:val="006A4C33"/>
    <w:rsid w:val="006A4F7C"/>
    <w:rsid w:val="006A5E28"/>
    <w:rsid w:val="006A5EE9"/>
    <w:rsid w:val="006A654E"/>
    <w:rsid w:val="006A697B"/>
    <w:rsid w:val="006A7AFF"/>
    <w:rsid w:val="006B114F"/>
    <w:rsid w:val="006B1816"/>
    <w:rsid w:val="006B2099"/>
    <w:rsid w:val="006B2E8A"/>
    <w:rsid w:val="006B33FC"/>
    <w:rsid w:val="006B3C7F"/>
    <w:rsid w:val="006B4A90"/>
    <w:rsid w:val="006B4EAD"/>
    <w:rsid w:val="006B50C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41D"/>
    <w:rsid w:val="006F3CDE"/>
    <w:rsid w:val="006F496C"/>
    <w:rsid w:val="006F58D4"/>
    <w:rsid w:val="006F6582"/>
    <w:rsid w:val="0070107B"/>
    <w:rsid w:val="0070255B"/>
    <w:rsid w:val="0070346E"/>
    <w:rsid w:val="00704EDB"/>
    <w:rsid w:val="00705BD9"/>
    <w:rsid w:val="00706101"/>
    <w:rsid w:val="00706B0A"/>
    <w:rsid w:val="00707072"/>
    <w:rsid w:val="00707D61"/>
    <w:rsid w:val="007116B6"/>
    <w:rsid w:val="00712287"/>
    <w:rsid w:val="00712772"/>
    <w:rsid w:val="007148D3"/>
    <w:rsid w:val="00715B9A"/>
    <w:rsid w:val="007257D0"/>
    <w:rsid w:val="007263BF"/>
    <w:rsid w:val="00726EA6"/>
    <w:rsid w:val="00727208"/>
    <w:rsid w:val="007273E4"/>
    <w:rsid w:val="00727680"/>
    <w:rsid w:val="00730B6F"/>
    <w:rsid w:val="007324FE"/>
    <w:rsid w:val="007348B1"/>
    <w:rsid w:val="00736109"/>
    <w:rsid w:val="007362A6"/>
    <w:rsid w:val="00736D7D"/>
    <w:rsid w:val="00737E76"/>
    <w:rsid w:val="007406CA"/>
    <w:rsid w:val="00740E58"/>
    <w:rsid w:val="00741083"/>
    <w:rsid w:val="007445A0"/>
    <w:rsid w:val="0074461C"/>
    <w:rsid w:val="0074524B"/>
    <w:rsid w:val="00745E2C"/>
    <w:rsid w:val="00747D8B"/>
    <w:rsid w:val="00750A29"/>
    <w:rsid w:val="00751228"/>
    <w:rsid w:val="00752094"/>
    <w:rsid w:val="007571E1"/>
    <w:rsid w:val="00757640"/>
    <w:rsid w:val="007604B2"/>
    <w:rsid w:val="00762FB4"/>
    <w:rsid w:val="007642E9"/>
    <w:rsid w:val="00765281"/>
    <w:rsid w:val="00766BAD"/>
    <w:rsid w:val="00771318"/>
    <w:rsid w:val="007729A2"/>
    <w:rsid w:val="00772B62"/>
    <w:rsid w:val="007755F2"/>
    <w:rsid w:val="00776971"/>
    <w:rsid w:val="00777C4D"/>
    <w:rsid w:val="00780A80"/>
    <w:rsid w:val="0078177E"/>
    <w:rsid w:val="0078304C"/>
    <w:rsid w:val="00783673"/>
    <w:rsid w:val="00784EF4"/>
    <w:rsid w:val="00785490"/>
    <w:rsid w:val="00786D77"/>
    <w:rsid w:val="00787BB2"/>
    <w:rsid w:val="00790080"/>
    <w:rsid w:val="00792527"/>
    <w:rsid w:val="007925EA"/>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6005"/>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217E"/>
    <w:rsid w:val="008039B2"/>
    <w:rsid w:val="00803FAE"/>
    <w:rsid w:val="0080605F"/>
    <w:rsid w:val="008070BF"/>
    <w:rsid w:val="00807786"/>
    <w:rsid w:val="00811FCB"/>
    <w:rsid w:val="00812CC4"/>
    <w:rsid w:val="008158D6"/>
    <w:rsid w:val="00817196"/>
    <w:rsid w:val="00817D23"/>
    <w:rsid w:val="008231B2"/>
    <w:rsid w:val="0082350E"/>
    <w:rsid w:val="008235DB"/>
    <w:rsid w:val="00823B77"/>
    <w:rsid w:val="00824AB4"/>
    <w:rsid w:val="00825C42"/>
    <w:rsid w:val="00825D25"/>
    <w:rsid w:val="00827D6F"/>
    <w:rsid w:val="008305A4"/>
    <w:rsid w:val="008307C0"/>
    <w:rsid w:val="008317B5"/>
    <w:rsid w:val="0083246D"/>
    <w:rsid w:val="00836001"/>
    <w:rsid w:val="008376AC"/>
    <w:rsid w:val="008444E8"/>
    <w:rsid w:val="008445EB"/>
    <w:rsid w:val="00844BA1"/>
    <w:rsid w:val="00844E80"/>
    <w:rsid w:val="0084597A"/>
    <w:rsid w:val="00846FE7"/>
    <w:rsid w:val="008470D6"/>
    <w:rsid w:val="008526D4"/>
    <w:rsid w:val="00853D62"/>
    <w:rsid w:val="00856911"/>
    <w:rsid w:val="008569E5"/>
    <w:rsid w:val="00857E42"/>
    <w:rsid w:val="00860A80"/>
    <w:rsid w:val="0086138F"/>
    <w:rsid w:val="008632C1"/>
    <w:rsid w:val="008667AA"/>
    <w:rsid w:val="008677FD"/>
    <w:rsid w:val="008706D4"/>
    <w:rsid w:val="00870F8A"/>
    <w:rsid w:val="008719A4"/>
    <w:rsid w:val="00871D23"/>
    <w:rsid w:val="008720BC"/>
    <w:rsid w:val="008727CF"/>
    <w:rsid w:val="00872FB3"/>
    <w:rsid w:val="00874312"/>
    <w:rsid w:val="0087437C"/>
    <w:rsid w:val="00875CD7"/>
    <w:rsid w:val="00876B4D"/>
    <w:rsid w:val="00877F18"/>
    <w:rsid w:val="00880938"/>
    <w:rsid w:val="008827A8"/>
    <w:rsid w:val="00892823"/>
    <w:rsid w:val="008941E3"/>
    <w:rsid w:val="00894A88"/>
    <w:rsid w:val="00895386"/>
    <w:rsid w:val="00895A69"/>
    <w:rsid w:val="00895F9E"/>
    <w:rsid w:val="0089716D"/>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716E"/>
    <w:rsid w:val="008B7B5C"/>
    <w:rsid w:val="008C0C99"/>
    <w:rsid w:val="008C2017"/>
    <w:rsid w:val="008C27B4"/>
    <w:rsid w:val="008C4958"/>
    <w:rsid w:val="008C4BAA"/>
    <w:rsid w:val="008C6AE8"/>
    <w:rsid w:val="008C7573"/>
    <w:rsid w:val="008C7762"/>
    <w:rsid w:val="008D00A5"/>
    <w:rsid w:val="008D11E6"/>
    <w:rsid w:val="008D2C57"/>
    <w:rsid w:val="008D34F1"/>
    <w:rsid w:val="008D39D8"/>
    <w:rsid w:val="008D4ED0"/>
    <w:rsid w:val="008D6D1A"/>
    <w:rsid w:val="008E065E"/>
    <w:rsid w:val="008E0927"/>
    <w:rsid w:val="008E0D8F"/>
    <w:rsid w:val="008E1909"/>
    <w:rsid w:val="008E4DED"/>
    <w:rsid w:val="008E7422"/>
    <w:rsid w:val="008F1C4E"/>
    <w:rsid w:val="008F1EAB"/>
    <w:rsid w:val="008F2209"/>
    <w:rsid w:val="008F33DC"/>
    <w:rsid w:val="008F477F"/>
    <w:rsid w:val="008F5103"/>
    <w:rsid w:val="008F7AA0"/>
    <w:rsid w:val="00902350"/>
    <w:rsid w:val="0090336B"/>
    <w:rsid w:val="0090373B"/>
    <w:rsid w:val="009053AA"/>
    <w:rsid w:val="00906939"/>
    <w:rsid w:val="00907CE3"/>
    <w:rsid w:val="00910B7D"/>
    <w:rsid w:val="00910BF8"/>
    <w:rsid w:val="00911DFB"/>
    <w:rsid w:val="00912778"/>
    <w:rsid w:val="009139D9"/>
    <w:rsid w:val="00914AD8"/>
    <w:rsid w:val="00916079"/>
    <w:rsid w:val="00917621"/>
    <w:rsid w:val="00917CE9"/>
    <w:rsid w:val="0092075B"/>
    <w:rsid w:val="00920BF2"/>
    <w:rsid w:val="00922010"/>
    <w:rsid w:val="0092735F"/>
    <w:rsid w:val="00931AA7"/>
    <w:rsid w:val="00931BD9"/>
    <w:rsid w:val="00934756"/>
    <w:rsid w:val="009368F3"/>
    <w:rsid w:val="00941636"/>
    <w:rsid w:val="0094258A"/>
    <w:rsid w:val="00942855"/>
    <w:rsid w:val="00943742"/>
    <w:rsid w:val="00943DF2"/>
    <w:rsid w:val="00944547"/>
    <w:rsid w:val="00945C05"/>
    <w:rsid w:val="00946945"/>
    <w:rsid w:val="00947713"/>
    <w:rsid w:val="00947FC6"/>
    <w:rsid w:val="00950DE7"/>
    <w:rsid w:val="00951CD6"/>
    <w:rsid w:val="0095351C"/>
    <w:rsid w:val="00953920"/>
    <w:rsid w:val="00953D47"/>
    <w:rsid w:val="00954968"/>
    <w:rsid w:val="00954C25"/>
    <w:rsid w:val="0095681E"/>
    <w:rsid w:val="009572D4"/>
    <w:rsid w:val="00961921"/>
    <w:rsid w:val="0096430A"/>
    <w:rsid w:val="0096554B"/>
    <w:rsid w:val="0096584A"/>
    <w:rsid w:val="00965E1B"/>
    <w:rsid w:val="00965F0F"/>
    <w:rsid w:val="00967C71"/>
    <w:rsid w:val="009713B7"/>
    <w:rsid w:val="00971F08"/>
    <w:rsid w:val="00972731"/>
    <w:rsid w:val="0097603D"/>
    <w:rsid w:val="0097663A"/>
    <w:rsid w:val="00976949"/>
    <w:rsid w:val="00980477"/>
    <w:rsid w:val="00984436"/>
    <w:rsid w:val="00985253"/>
    <w:rsid w:val="009853B3"/>
    <w:rsid w:val="00987105"/>
    <w:rsid w:val="00990630"/>
    <w:rsid w:val="00991761"/>
    <w:rsid w:val="00993745"/>
    <w:rsid w:val="00994DCA"/>
    <w:rsid w:val="009960EC"/>
    <w:rsid w:val="009970DD"/>
    <w:rsid w:val="009A0FBA"/>
    <w:rsid w:val="009A1601"/>
    <w:rsid w:val="009A3BB6"/>
    <w:rsid w:val="009A4091"/>
    <w:rsid w:val="009A462D"/>
    <w:rsid w:val="009A55BC"/>
    <w:rsid w:val="009A5CBA"/>
    <w:rsid w:val="009B08E6"/>
    <w:rsid w:val="009B143F"/>
    <w:rsid w:val="009B1F30"/>
    <w:rsid w:val="009B3AC2"/>
    <w:rsid w:val="009B3C5D"/>
    <w:rsid w:val="009B4CA3"/>
    <w:rsid w:val="009B4DF4"/>
    <w:rsid w:val="009B4F53"/>
    <w:rsid w:val="009B5119"/>
    <w:rsid w:val="009B564E"/>
    <w:rsid w:val="009B5989"/>
    <w:rsid w:val="009B613C"/>
    <w:rsid w:val="009B7E87"/>
    <w:rsid w:val="009C0169"/>
    <w:rsid w:val="009C2D28"/>
    <w:rsid w:val="009C403E"/>
    <w:rsid w:val="009C6CEA"/>
    <w:rsid w:val="009D0545"/>
    <w:rsid w:val="009D0B47"/>
    <w:rsid w:val="009D18B0"/>
    <w:rsid w:val="009D290D"/>
    <w:rsid w:val="009D407E"/>
    <w:rsid w:val="009D4BAD"/>
    <w:rsid w:val="009D4FF0"/>
    <w:rsid w:val="009D703C"/>
    <w:rsid w:val="009D718F"/>
    <w:rsid w:val="009E068F"/>
    <w:rsid w:val="009E0755"/>
    <w:rsid w:val="009E14E0"/>
    <w:rsid w:val="009E35DB"/>
    <w:rsid w:val="009E47A3"/>
    <w:rsid w:val="009E5F41"/>
    <w:rsid w:val="009E7133"/>
    <w:rsid w:val="009F08F3"/>
    <w:rsid w:val="009F0A93"/>
    <w:rsid w:val="009F0AA6"/>
    <w:rsid w:val="009F2CB9"/>
    <w:rsid w:val="009F30C2"/>
    <w:rsid w:val="009F344F"/>
    <w:rsid w:val="009F3917"/>
    <w:rsid w:val="009F4C8E"/>
    <w:rsid w:val="00A001E1"/>
    <w:rsid w:val="00A002AF"/>
    <w:rsid w:val="00A00890"/>
    <w:rsid w:val="00A01EA3"/>
    <w:rsid w:val="00A031D8"/>
    <w:rsid w:val="00A03542"/>
    <w:rsid w:val="00A0363F"/>
    <w:rsid w:val="00A037FF"/>
    <w:rsid w:val="00A048A8"/>
    <w:rsid w:val="00A04F49"/>
    <w:rsid w:val="00A105CF"/>
    <w:rsid w:val="00A11B5D"/>
    <w:rsid w:val="00A13E54"/>
    <w:rsid w:val="00A14539"/>
    <w:rsid w:val="00A15643"/>
    <w:rsid w:val="00A1742D"/>
    <w:rsid w:val="00A17F63"/>
    <w:rsid w:val="00A20735"/>
    <w:rsid w:val="00A2193B"/>
    <w:rsid w:val="00A2351A"/>
    <w:rsid w:val="00A264A9"/>
    <w:rsid w:val="00A26DCF"/>
    <w:rsid w:val="00A27785"/>
    <w:rsid w:val="00A30187"/>
    <w:rsid w:val="00A31440"/>
    <w:rsid w:val="00A31867"/>
    <w:rsid w:val="00A3448A"/>
    <w:rsid w:val="00A36297"/>
    <w:rsid w:val="00A40277"/>
    <w:rsid w:val="00A41E2B"/>
    <w:rsid w:val="00A43547"/>
    <w:rsid w:val="00A44102"/>
    <w:rsid w:val="00A45B74"/>
    <w:rsid w:val="00A46CEB"/>
    <w:rsid w:val="00A50568"/>
    <w:rsid w:val="00A5265A"/>
    <w:rsid w:val="00A52E1D"/>
    <w:rsid w:val="00A61499"/>
    <w:rsid w:val="00A62A77"/>
    <w:rsid w:val="00A63483"/>
    <w:rsid w:val="00A64D57"/>
    <w:rsid w:val="00A657D7"/>
    <w:rsid w:val="00A660AC"/>
    <w:rsid w:val="00A66CD4"/>
    <w:rsid w:val="00A66F75"/>
    <w:rsid w:val="00A67E6C"/>
    <w:rsid w:val="00A70D37"/>
    <w:rsid w:val="00A71864"/>
    <w:rsid w:val="00A71B99"/>
    <w:rsid w:val="00A739D0"/>
    <w:rsid w:val="00A7575A"/>
    <w:rsid w:val="00A7589E"/>
    <w:rsid w:val="00A761D4"/>
    <w:rsid w:val="00A77847"/>
    <w:rsid w:val="00A77EC4"/>
    <w:rsid w:val="00A82C95"/>
    <w:rsid w:val="00A9071F"/>
    <w:rsid w:val="00A92879"/>
    <w:rsid w:val="00A93666"/>
    <w:rsid w:val="00A9442A"/>
    <w:rsid w:val="00AA016F"/>
    <w:rsid w:val="00AA089D"/>
    <w:rsid w:val="00AA1ED6"/>
    <w:rsid w:val="00AA2EE7"/>
    <w:rsid w:val="00AA3527"/>
    <w:rsid w:val="00AA51D6"/>
    <w:rsid w:val="00AA7067"/>
    <w:rsid w:val="00AB0848"/>
    <w:rsid w:val="00AB0BC8"/>
    <w:rsid w:val="00AB1180"/>
    <w:rsid w:val="00AB11CA"/>
    <w:rsid w:val="00AB14D9"/>
    <w:rsid w:val="00AB30BD"/>
    <w:rsid w:val="00AB4AB8"/>
    <w:rsid w:val="00AB655E"/>
    <w:rsid w:val="00AC007F"/>
    <w:rsid w:val="00AC2ECD"/>
    <w:rsid w:val="00AC3119"/>
    <w:rsid w:val="00AC4397"/>
    <w:rsid w:val="00AC49FB"/>
    <w:rsid w:val="00AC5A10"/>
    <w:rsid w:val="00AC72B4"/>
    <w:rsid w:val="00AD0AA3"/>
    <w:rsid w:val="00AD19CA"/>
    <w:rsid w:val="00AD2ED0"/>
    <w:rsid w:val="00AD3910"/>
    <w:rsid w:val="00AD3F94"/>
    <w:rsid w:val="00AD4A5A"/>
    <w:rsid w:val="00AD7140"/>
    <w:rsid w:val="00AE0288"/>
    <w:rsid w:val="00AE27AC"/>
    <w:rsid w:val="00AE40E0"/>
    <w:rsid w:val="00AE4DBA"/>
    <w:rsid w:val="00AE4F07"/>
    <w:rsid w:val="00AE5B59"/>
    <w:rsid w:val="00AF0572"/>
    <w:rsid w:val="00AF1C5D"/>
    <w:rsid w:val="00AF341E"/>
    <w:rsid w:val="00AF42D7"/>
    <w:rsid w:val="00AF603B"/>
    <w:rsid w:val="00B006FE"/>
    <w:rsid w:val="00B007CB"/>
    <w:rsid w:val="00B009D1"/>
    <w:rsid w:val="00B00F5A"/>
    <w:rsid w:val="00B00FEB"/>
    <w:rsid w:val="00B01AA6"/>
    <w:rsid w:val="00B01CBE"/>
    <w:rsid w:val="00B02AA9"/>
    <w:rsid w:val="00B02FA3"/>
    <w:rsid w:val="00B0496B"/>
    <w:rsid w:val="00B05084"/>
    <w:rsid w:val="00B061DC"/>
    <w:rsid w:val="00B061E2"/>
    <w:rsid w:val="00B066B0"/>
    <w:rsid w:val="00B11186"/>
    <w:rsid w:val="00B1314C"/>
    <w:rsid w:val="00B143E6"/>
    <w:rsid w:val="00B157F9"/>
    <w:rsid w:val="00B201C7"/>
    <w:rsid w:val="00B20256"/>
    <w:rsid w:val="00B204D4"/>
    <w:rsid w:val="00B20D09"/>
    <w:rsid w:val="00B24977"/>
    <w:rsid w:val="00B24C1A"/>
    <w:rsid w:val="00B2763F"/>
    <w:rsid w:val="00B27AAC"/>
    <w:rsid w:val="00B30929"/>
    <w:rsid w:val="00B33ADC"/>
    <w:rsid w:val="00B372AA"/>
    <w:rsid w:val="00B40445"/>
    <w:rsid w:val="00B409E0"/>
    <w:rsid w:val="00B41888"/>
    <w:rsid w:val="00B42C17"/>
    <w:rsid w:val="00B45A52"/>
    <w:rsid w:val="00B46175"/>
    <w:rsid w:val="00B46C71"/>
    <w:rsid w:val="00B53ED8"/>
    <w:rsid w:val="00B541F4"/>
    <w:rsid w:val="00B548B7"/>
    <w:rsid w:val="00B55607"/>
    <w:rsid w:val="00B65F5A"/>
    <w:rsid w:val="00B664C7"/>
    <w:rsid w:val="00B675CB"/>
    <w:rsid w:val="00B73054"/>
    <w:rsid w:val="00B739F6"/>
    <w:rsid w:val="00B744C0"/>
    <w:rsid w:val="00B75509"/>
    <w:rsid w:val="00B76820"/>
    <w:rsid w:val="00B817E5"/>
    <w:rsid w:val="00B81A6C"/>
    <w:rsid w:val="00B821FE"/>
    <w:rsid w:val="00B85378"/>
    <w:rsid w:val="00B85DE5"/>
    <w:rsid w:val="00B90727"/>
    <w:rsid w:val="00B909B9"/>
    <w:rsid w:val="00B90F73"/>
    <w:rsid w:val="00B93B59"/>
    <w:rsid w:val="00B9406A"/>
    <w:rsid w:val="00B94B76"/>
    <w:rsid w:val="00B97A8E"/>
    <w:rsid w:val="00BA0C07"/>
    <w:rsid w:val="00BA1283"/>
    <w:rsid w:val="00BA1A84"/>
    <w:rsid w:val="00BA2280"/>
    <w:rsid w:val="00BA2A08"/>
    <w:rsid w:val="00BA56D2"/>
    <w:rsid w:val="00BA5FE8"/>
    <w:rsid w:val="00BA76E0"/>
    <w:rsid w:val="00BB0257"/>
    <w:rsid w:val="00BB22AB"/>
    <w:rsid w:val="00BB2A25"/>
    <w:rsid w:val="00BB4EA0"/>
    <w:rsid w:val="00BB51E9"/>
    <w:rsid w:val="00BC0FDC"/>
    <w:rsid w:val="00BC3053"/>
    <w:rsid w:val="00BC4D2E"/>
    <w:rsid w:val="00BC5C65"/>
    <w:rsid w:val="00BD3BE6"/>
    <w:rsid w:val="00BD48AC"/>
    <w:rsid w:val="00BD54BB"/>
    <w:rsid w:val="00BD5F1A"/>
    <w:rsid w:val="00BD7324"/>
    <w:rsid w:val="00BE1131"/>
    <w:rsid w:val="00BE1234"/>
    <w:rsid w:val="00BE2FA6"/>
    <w:rsid w:val="00BE333F"/>
    <w:rsid w:val="00BE590B"/>
    <w:rsid w:val="00BE7406"/>
    <w:rsid w:val="00BE7603"/>
    <w:rsid w:val="00BE7B5B"/>
    <w:rsid w:val="00BF1764"/>
    <w:rsid w:val="00BF3279"/>
    <w:rsid w:val="00BF4274"/>
    <w:rsid w:val="00BF4825"/>
    <w:rsid w:val="00BF65CA"/>
    <w:rsid w:val="00BF74C7"/>
    <w:rsid w:val="00BF7D9A"/>
    <w:rsid w:val="00C015F1"/>
    <w:rsid w:val="00C01731"/>
    <w:rsid w:val="00C01F33"/>
    <w:rsid w:val="00C02CC6"/>
    <w:rsid w:val="00C040F7"/>
    <w:rsid w:val="00C044AB"/>
    <w:rsid w:val="00C05706"/>
    <w:rsid w:val="00C05BC4"/>
    <w:rsid w:val="00C07377"/>
    <w:rsid w:val="00C10478"/>
    <w:rsid w:val="00C11EFF"/>
    <w:rsid w:val="00C12107"/>
    <w:rsid w:val="00C14D4B"/>
    <w:rsid w:val="00C154BB"/>
    <w:rsid w:val="00C279B5"/>
    <w:rsid w:val="00C27C45"/>
    <w:rsid w:val="00C30B98"/>
    <w:rsid w:val="00C31FF4"/>
    <w:rsid w:val="00C32FD2"/>
    <w:rsid w:val="00C332E5"/>
    <w:rsid w:val="00C335F7"/>
    <w:rsid w:val="00C3398A"/>
    <w:rsid w:val="00C34350"/>
    <w:rsid w:val="00C35ABA"/>
    <w:rsid w:val="00C3719D"/>
    <w:rsid w:val="00C37BD0"/>
    <w:rsid w:val="00C37C74"/>
    <w:rsid w:val="00C37CB2"/>
    <w:rsid w:val="00C4339A"/>
    <w:rsid w:val="00C473A5"/>
    <w:rsid w:val="00C54995"/>
    <w:rsid w:val="00C54D41"/>
    <w:rsid w:val="00C54F64"/>
    <w:rsid w:val="00C56C0B"/>
    <w:rsid w:val="00C60783"/>
    <w:rsid w:val="00C64672"/>
    <w:rsid w:val="00C65AAC"/>
    <w:rsid w:val="00C70697"/>
    <w:rsid w:val="00C72093"/>
    <w:rsid w:val="00C72EF4"/>
    <w:rsid w:val="00C7382D"/>
    <w:rsid w:val="00C744FE"/>
    <w:rsid w:val="00C75D2F"/>
    <w:rsid w:val="00C767BE"/>
    <w:rsid w:val="00C76E3C"/>
    <w:rsid w:val="00C77C90"/>
    <w:rsid w:val="00C81568"/>
    <w:rsid w:val="00C86299"/>
    <w:rsid w:val="00C8750E"/>
    <w:rsid w:val="00C9026E"/>
    <w:rsid w:val="00C9027A"/>
    <w:rsid w:val="00C9068E"/>
    <w:rsid w:val="00C91F88"/>
    <w:rsid w:val="00C93764"/>
    <w:rsid w:val="00C93814"/>
    <w:rsid w:val="00C93C4B"/>
    <w:rsid w:val="00C93F53"/>
    <w:rsid w:val="00C944AB"/>
    <w:rsid w:val="00C95B40"/>
    <w:rsid w:val="00CA0E05"/>
    <w:rsid w:val="00CA0EFA"/>
    <w:rsid w:val="00CA1ED8"/>
    <w:rsid w:val="00CA36E9"/>
    <w:rsid w:val="00CA3E28"/>
    <w:rsid w:val="00CA71F9"/>
    <w:rsid w:val="00CB1F63"/>
    <w:rsid w:val="00CB27BD"/>
    <w:rsid w:val="00CB43F2"/>
    <w:rsid w:val="00CB5EC7"/>
    <w:rsid w:val="00CB5F0B"/>
    <w:rsid w:val="00CB62EB"/>
    <w:rsid w:val="00CB7170"/>
    <w:rsid w:val="00CC040E"/>
    <w:rsid w:val="00CC111F"/>
    <w:rsid w:val="00CC1FEC"/>
    <w:rsid w:val="00CC2011"/>
    <w:rsid w:val="00CC2D2B"/>
    <w:rsid w:val="00CC3EA0"/>
    <w:rsid w:val="00CC4DC0"/>
    <w:rsid w:val="00CC7B45"/>
    <w:rsid w:val="00CD1188"/>
    <w:rsid w:val="00CD2ED1"/>
    <w:rsid w:val="00CD337B"/>
    <w:rsid w:val="00CD6314"/>
    <w:rsid w:val="00CE0424"/>
    <w:rsid w:val="00CE2D6A"/>
    <w:rsid w:val="00CE708A"/>
    <w:rsid w:val="00CE7561"/>
    <w:rsid w:val="00CF1354"/>
    <w:rsid w:val="00CF3B1F"/>
    <w:rsid w:val="00CF3BF6"/>
    <w:rsid w:val="00CF514C"/>
    <w:rsid w:val="00CF625B"/>
    <w:rsid w:val="00CF687E"/>
    <w:rsid w:val="00CF787E"/>
    <w:rsid w:val="00CF7F20"/>
    <w:rsid w:val="00D00B65"/>
    <w:rsid w:val="00D00FAD"/>
    <w:rsid w:val="00D0349B"/>
    <w:rsid w:val="00D0503E"/>
    <w:rsid w:val="00D069C9"/>
    <w:rsid w:val="00D06DE9"/>
    <w:rsid w:val="00D10249"/>
    <w:rsid w:val="00D10D0D"/>
    <w:rsid w:val="00D115C3"/>
    <w:rsid w:val="00D11897"/>
    <w:rsid w:val="00D11E65"/>
    <w:rsid w:val="00D13064"/>
    <w:rsid w:val="00D130FB"/>
    <w:rsid w:val="00D13135"/>
    <w:rsid w:val="00D13E4E"/>
    <w:rsid w:val="00D17043"/>
    <w:rsid w:val="00D239A7"/>
    <w:rsid w:val="00D23F47"/>
    <w:rsid w:val="00D25E06"/>
    <w:rsid w:val="00D3188C"/>
    <w:rsid w:val="00D358BE"/>
    <w:rsid w:val="00D36E71"/>
    <w:rsid w:val="00D37D87"/>
    <w:rsid w:val="00D40303"/>
    <w:rsid w:val="00D405D7"/>
    <w:rsid w:val="00D40B33"/>
    <w:rsid w:val="00D4318F"/>
    <w:rsid w:val="00D437AE"/>
    <w:rsid w:val="00D438BF"/>
    <w:rsid w:val="00D440F8"/>
    <w:rsid w:val="00D47067"/>
    <w:rsid w:val="00D519ED"/>
    <w:rsid w:val="00D525F0"/>
    <w:rsid w:val="00D53DAB"/>
    <w:rsid w:val="00D546FF"/>
    <w:rsid w:val="00D55AD5"/>
    <w:rsid w:val="00D576CA"/>
    <w:rsid w:val="00D6125A"/>
    <w:rsid w:val="00D61AF5"/>
    <w:rsid w:val="00D61F85"/>
    <w:rsid w:val="00D62286"/>
    <w:rsid w:val="00D62B7D"/>
    <w:rsid w:val="00D652B5"/>
    <w:rsid w:val="00D66155"/>
    <w:rsid w:val="00D66A15"/>
    <w:rsid w:val="00D67B79"/>
    <w:rsid w:val="00D708B0"/>
    <w:rsid w:val="00D739FB"/>
    <w:rsid w:val="00D77B1D"/>
    <w:rsid w:val="00D8021F"/>
    <w:rsid w:val="00D80383"/>
    <w:rsid w:val="00D823C6"/>
    <w:rsid w:val="00D8327F"/>
    <w:rsid w:val="00D860EB"/>
    <w:rsid w:val="00D86C8F"/>
    <w:rsid w:val="00D86CA3"/>
    <w:rsid w:val="00D871CE"/>
    <w:rsid w:val="00D87DCD"/>
    <w:rsid w:val="00D87E49"/>
    <w:rsid w:val="00D9196D"/>
    <w:rsid w:val="00D92982"/>
    <w:rsid w:val="00D9605C"/>
    <w:rsid w:val="00D979C3"/>
    <w:rsid w:val="00DA275B"/>
    <w:rsid w:val="00DA305E"/>
    <w:rsid w:val="00DA5417"/>
    <w:rsid w:val="00DA56E8"/>
    <w:rsid w:val="00DA7460"/>
    <w:rsid w:val="00DA7473"/>
    <w:rsid w:val="00DB0A9F"/>
    <w:rsid w:val="00DB1BF3"/>
    <w:rsid w:val="00DB377D"/>
    <w:rsid w:val="00DB3B3C"/>
    <w:rsid w:val="00DB5358"/>
    <w:rsid w:val="00DB690B"/>
    <w:rsid w:val="00DB7CB9"/>
    <w:rsid w:val="00DC275F"/>
    <w:rsid w:val="00DC2D36"/>
    <w:rsid w:val="00DC53EF"/>
    <w:rsid w:val="00DD0204"/>
    <w:rsid w:val="00DD689F"/>
    <w:rsid w:val="00DD7470"/>
    <w:rsid w:val="00DE3ED6"/>
    <w:rsid w:val="00DE5608"/>
    <w:rsid w:val="00DE58D0"/>
    <w:rsid w:val="00DE654F"/>
    <w:rsid w:val="00DF0B6E"/>
    <w:rsid w:val="00DF15E0"/>
    <w:rsid w:val="00DF1F62"/>
    <w:rsid w:val="00DF2C4A"/>
    <w:rsid w:val="00DF37A0"/>
    <w:rsid w:val="00DF4550"/>
    <w:rsid w:val="00DF68B7"/>
    <w:rsid w:val="00E0106F"/>
    <w:rsid w:val="00E05ABC"/>
    <w:rsid w:val="00E110E7"/>
    <w:rsid w:val="00E11594"/>
    <w:rsid w:val="00E11B20"/>
    <w:rsid w:val="00E1342D"/>
    <w:rsid w:val="00E142E7"/>
    <w:rsid w:val="00E17FA2"/>
    <w:rsid w:val="00E213E1"/>
    <w:rsid w:val="00E22330"/>
    <w:rsid w:val="00E22397"/>
    <w:rsid w:val="00E30087"/>
    <w:rsid w:val="00E30B5A"/>
    <w:rsid w:val="00E30D67"/>
    <w:rsid w:val="00E3123D"/>
    <w:rsid w:val="00E31461"/>
    <w:rsid w:val="00E31D43"/>
    <w:rsid w:val="00E3249F"/>
    <w:rsid w:val="00E32608"/>
    <w:rsid w:val="00E33B71"/>
    <w:rsid w:val="00E34188"/>
    <w:rsid w:val="00E34B6E"/>
    <w:rsid w:val="00E35559"/>
    <w:rsid w:val="00E3723A"/>
    <w:rsid w:val="00E37860"/>
    <w:rsid w:val="00E40A18"/>
    <w:rsid w:val="00E4193E"/>
    <w:rsid w:val="00E446F1"/>
    <w:rsid w:val="00E45773"/>
    <w:rsid w:val="00E46886"/>
    <w:rsid w:val="00E46D72"/>
    <w:rsid w:val="00E47AEF"/>
    <w:rsid w:val="00E50D6F"/>
    <w:rsid w:val="00E53B75"/>
    <w:rsid w:val="00E54E3B"/>
    <w:rsid w:val="00E57565"/>
    <w:rsid w:val="00E57611"/>
    <w:rsid w:val="00E63838"/>
    <w:rsid w:val="00E64434"/>
    <w:rsid w:val="00E67C51"/>
    <w:rsid w:val="00E708A7"/>
    <w:rsid w:val="00E70CDB"/>
    <w:rsid w:val="00E71141"/>
    <w:rsid w:val="00E7185D"/>
    <w:rsid w:val="00E72EFC"/>
    <w:rsid w:val="00E72FF2"/>
    <w:rsid w:val="00E75672"/>
    <w:rsid w:val="00E758EC"/>
    <w:rsid w:val="00E7598B"/>
    <w:rsid w:val="00E8234C"/>
    <w:rsid w:val="00E83AA9"/>
    <w:rsid w:val="00E85928"/>
    <w:rsid w:val="00E87822"/>
    <w:rsid w:val="00E90395"/>
    <w:rsid w:val="00E90E49"/>
    <w:rsid w:val="00E91543"/>
    <w:rsid w:val="00E917F9"/>
    <w:rsid w:val="00E91D23"/>
    <w:rsid w:val="00E921C6"/>
    <w:rsid w:val="00E9291C"/>
    <w:rsid w:val="00E93FFE"/>
    <w:rsid w:val="00E94F8A"/>
    <w:rsid w:val="00EA42CF"/>
    <w:rsid w:val="00EA5921"/>
    <w:rsid w:val="00EA7760"/>
    <w:rsid w:val="00EA7A41"/>
    <w:rsid w:val="00EB077B"/>
    <w:rsid w:val="00EB2133"/>
    <w:rsid w:val="00EB4EA2"/>
    <w:rsid w:val="00EB6DCE"/>
    <w:rsid w:val="00EB7211"/>
    <w:rsid w:val="00EC24D5"/>
    <w:rsid w:val="00EC27C6"/>
    <w:rsid w:val="00EC4207"/>
    <w:rsid w:val="00EC5653"/>
    <w:rsid w:val="00EC71CE"/>
    <w:rsid w:val="00ED1006"/>
    <w:rsid w:val="00ED38C6"/>
    <w:rsid w:val="00ED428F"/>
    <w:rsid w:val="00EE43DF"/>
    <w:rsid w:val="00EF0813"/>
    <w:rsid w:val="00EF0CBF"/>
    <w:rsid w:val="00EF18FE"/>
    <w:rsid w:val="00EF21E3"/>
    <w:rsid w:val="00EF2D03"/>
    <w:rsid w:val="00EF5787"/>
    <w:rsid w:val="00EF580D"/>
    <w:rsid w:val="00EF60D0"/>
    <w:rsid w:val="00EF742C"/>
    <w:rsid w:val="00F003CB"/>
    <w:rsid w:val="00F0528D"/>
    <w:rsid w:val="00F058BA"/>
    <w:rsid w:val="00F06395"/>
    <w:rsid w:val="00F06C67"/>
    <w:rsid w:val="00F06DFD"/>
    <w:rsid w:val="00F071D1"/>
    <w:rsid w:val="00F07533"/>
    <w:rsid w:val="00F10629"/>
    <w:rsid w:val="00F11F3E"/>
    <w:rsid w:val="00F13D48"/>
    <w:rsid w:val="00F15FA5"/>
    <w:rsid w:val="00F200C6"/>
    <w:rsid w:val="00F209B7"/>
    <w:rsid w:val="00F2376F"/>
    <w:rsid w:val="00F23A93"/>
    <w:rsid w:val="00F243D8"/>
    <w:rsid w:val="00F24EDB"/>
    <w:rsid w:val="00F30828"/>
    <w:rsid w:val="00F30D90"/>
    <w:rsid w:val="00F313D6"/>
    <w:rsid w:val="00F318F1"/>
    <w:rsid w:val="00F31ED9"/>
    <w:rsid w:val="00F35C89"/>
    <w:rsid w:val="00F40F0C"/>
    <w:rsid w:val="00F43B38"/>
    <w:rsid w:val="00F451FF"/>
    <w:rsid w:val="00F4766C"/>
    <w:rsid w:val="00F5060E"/>
    <w:rsid w:val="00F507D1"/>
    <w:rsid w:val="00F51198"/>
    <w:rsid w:val="00F519CE"/>
    <w:rsid w:val="00F51ADA"/>
    <w:rsid w:val="00F577DD"/>
    <w:rsid w:val="00F60203"/>
    <w:rsid w:val="00F60617"/>
    <w:rsid w:val="00F607C5"/>
    <w:rsid w:val="00F60DEA"/>
    <w:rsid w:val="00F6302A"/>
    <w:rsid w:val="00F63950"/>
    <w:rsid w:val="00F63CA1"/>
    <w:rsid w:val="00F64904"/>
    <w:rsid w:val="00F64C2B"/>
    <w:rsid w:val="00F651BE"/>
    <w:rsid w:val="00F67F53"/>
    <w:rsid w:val="00F70266"/>
    <w:rsid w:val="00F703BE"/>
    <w:rsid w:val="00F71F69"/>
    <w:rsid w:val="00F72B72"/>
    <w:rsid w:val="00F74BB9"/>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9056A"/>
    <w:rsid w:val="00F90F8D"/>
    <w:rsid w:val="00F92782"/>
    <w:rsid w:val="00F93AA9"/>
    <w:rsid w:val="00F96985"/>
    <w:rsid w:val="00F97838"/>
    <w:rsid w:val="00F97E18"/>
    <w:rsid w:val="00FA2BB3"/>
    <w:rsid w:val="00FA44B3"/>
    <w:rsid w:val="00FA4722"/>
    <w:rsid w:val="00FA5E5F"/>
    <w:rsid w:val="00FA620E"/>
    <w:rsid w:val="00FA6B8E"/>
    <w:rsid w:val="00FA7E97"/>
    <w:rsid w:val="00FA7FEF"/>
    <w:rsid w:val="00FB3691"/>
    <w:rsid w:val="00FB4C80"/>
    <w:rsid w:val="00FB5D96"/>
    <w:rsid w:val="00FB6A6A"/>
    <w:rsid w:val="00FB7792"/>
    <w:rsid w:val="00FB7F78"/>
    <w:rsid w:val="00FC0DF8"/>
    <w:rsid w:val="00FC115D"/>
    <w:rsid w:val="00FC7429"/>
    <w:rsid w:val="00FD07F6"/>
    <w:rsid w:val="00FD1EC8"/>
    <w:rsid w:val="00FD4630"/>
    <w:rsid w:val="00FD47ED"/>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ADE09486-ECD5-4287-97E5-348F6CD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BD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37B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BD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FF55341-732F-46F3-AAE9-3D23FC9CE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7</Pages>
  <Words>2416</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16140</CharactersWithSpaces>
  <SharedDoc>false</SharedDoc>
  <HLinks>
    <vt:vector size="66" baseType="variant">
      <vt:variant>
        <vt:i4>1114166</vt:i4>
      </vt:variant>
      <vt:variant>
        <vt:i4>47</vt:i4>
      </vt:variant>
      <vt:variant>
        <vt:i4>0</vt:i4>
      </vt:variant>
      <vt:variant>
        <vt:i4>5</vt:i4>
      </vt:variant>
      <vt:variant>
        <vt:lpwstr/>
      </vt:variant>
      <vt:variant>
        <vt:lpwstr>_Toc68206947</vt:lpwstr>
      </vt:variant>
      <vt:variant>
        <vt:i4>1048630</vt:i4>
      </vt:variant>
      <vt:variant>
        <vt:i4>44</vt:i4>
      </vt:variant>
      <vt:variant>
        <vt:i4>0</vt:i4>
      </vt:variant>
      <vt:variant>
        <vt:i4>5</vt:i4>
      </vt:variant>
      <vt:variant>
        <vt:lpwstr/>
      </vt:variant>
      <vt:variant>
        <vt:lpwstr>_Toc68206946</vt:lpwstr>
      </vt:variant>
      <vt:variant>
        <vt:i4>1245238</vt:i4>
      </vt:variant>
      <vt:variant>
        <vt:i4>41</vt:i4>
      </vt:variant>
      <vt:variant>
        <vt:i4>0</vt:i4>
      </vt:variant>
      <vt:variant>
        <vt:i4>5</vt:i4>
      </vt:variant>
      <vt:variant>
        <vt:lpwstr/>
      </vt:variant>
      <vt:variant>
        <vt:lpwstr>_Toc68206945</vt:lpwstr>
      </vt:variant>
      <vt:variant>
        <vt:i4>1179702</vt:i4>
      </vt:variant>
      <vt:variant>
        <vt:i4>38</vt:i4>
      </vt:variant>
      <vt:variant>
        <vt:i4>0</vt:i4>
      </vt:variant>
      <vt:variant>
        <vt:i4>5</vt:i4>
      </vt:variant>
      <vt:variant>
        <vt:lpwstr/>
      </vt:variant>
      <vt:variant>
        <vt:lpwstr>_Toc68206944</vt:lpwstr>
      </vt:variant>
      <vt:variant>
        <vt:i4>1376310</vt:i4>
      </vt:variant>
      <vt:variant>
        <vt:i4>35</vt:i4>
      </vt:variant>
      <vt:variant>
        <vt:i4>0</vt:i4>
      </vt:variant>
      <vt:variant>
        <vt:i4>5</vt:i4>
      </vt:variant>
      <vt:variant>
        <vt:lpwstr/>
      </vt:variant>
      <vt:variant>
        <vt:lpwstr>_Toc68206943</vt:lpwstr>
      </vt:variant>
      <vt:variant>
        <vt:i4>1310774</vt:i4>
      </vt:variant>
      <vt:variant>
        <vt:i4>32</vt:i4>
      </vt:variant>
      <vt:variant>
        <vt:i4>0</vt:i4>
      </vt:variant>
      <vt:variant>
        <vt:i4>5</vt:i4>
      </vt:variant>
      <vt:variant>
        <vt:lpwstr/>
      </vt:variant>
      <vt:variant>
        <vt:lpwstr>_Toc68206942</vt:lpwstr>
      </vt:variant>
      <vt:variant>
        <vt:i4>1507382</vt:i4>
      </vt:variant>
      <vt:variant>
        <vt:i4>29</vt:i4>
      </vt:variant>
      <vt:variant>
        <vt:i4>0</vt:i4>
      </vt:variant>
      <vt:variant>
        <vt:i4>5</vt:i4>
      </vt:variant>
      <vt:variant>
        <vt:lpwstr/>
      </vt:variant>
      <vt:variant>
        <vt:lpwstr>_Toc68206941</vt:lpwstr>
      </vt:variant>
      <vt:variant>
        <vt:i4>1310770</vt:i4>
      </vt:variant>
      <vt:variant>
        <vt:i4>23</vt:i4>
      </vt:variant>
      <vt:variant>
        <vt:i4>0</vt:i4>
      </vt:variant>
      <vt:variant>
        <vt:i4>5</vt:i4>
      </vt:variant>
      <vt:variant>
        <vt:lpwstr/>
      </vt:variant>
      <vt:variant>
        <vt:lpwstr>_Toc68206902</vt:lpwstr>
      </vt:variant>
      <vt:variant>
        <vt:i4>1507378</vt:i4>
      </vt:variant>
      <vt:variant>
        <vt:i4>20</vt:i4>
      </vt:variant>
      <vt:variant>
        <vt:i4>0</vt:i4>
      </vt:variant>
      <vt:variant>
        <vt:i4>5</vt:i4>
      </vt:variant>
      <vt:variant>
        <vt:lpwstr/>
      </vt:variant>
      <vt:variant>
        <vt:lpwstr>_Toc68206901</vt:lpwstr>
      </vt:variant>
      <vt:variant>
        <vt:i4>1441842</vt:i4>
      </vt:variant>
      <vt:variant>
        <vt:i4>17</vt:i4>
      </vt:variant>
      <vt:variant>
        <vt:i4>0</vt:i4>
      </vt:variant>
      <vt:variant>
        <vt:i4>5</vt:i4>
      </vt:variant>
      <vt:variant>
        <vt:lpwstr/>
      </vt:variant>
      <vt:variant>
        <vt:lpwstr>_Toc68206900</vt:lpwstr>
      </vt:variant>
      <vt:variant>
        <vt:i4>1966139</vt:i4>
      </vt:variant>
      <vt:variant>
        <vt:i4>14</vt:i4>
      </vt:variant>
      <vt:variant>
        <vt:i4>0</vt:i4>
      </vt:variant>
      <vt:variant>
        <vt:i4>5</vt:i4>
      </vt:variant>
      <vt:variant>
        <vt:lpwstr/>
      </vt:variant>
      <vt:variant>
        <vt:lpwstr>_Toc68206899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Emre A. Yavuz</cp:lastModifiedBy>
  <cp:revision>240</cp:revision>
  <cp:lastPrinted>2008-02-01T11:09:00Z</cp:lastPrinted>
  <dcterms:created xsi:type="dcterms:W3CDTF">2021-01-11T07:08:00Z</dcterms:created>
  <dcterms:modified xsi:type="dcterms:W3CDTF">2021-04-02T07:00:00Z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